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ascii="宋体" w:hAnsi="宋体"/>
          <w:b/>
          <w:sz w:val="48"/>
          <w:szCs w:val="48"/>
        </w:rPr>
      </w:pPr>
      <w:r>
        <w:rPr>
          <w:rFonts w:hint="eastAsia" w:ascii="宋体" w:hAnsi="宋体"/>
          <w:b/>
          <w:sz w:val="48"/>
          <w:szCs w:val="48"/>
        </w:rPr>
        <w:t xml:space="preserve">  </w:t>
      </w:r>
    </w:p>
    <w:p>
      <w:pPr>
        <w:ind w:firstLine="0" w:firstLineChars="0"/>
        <w:jc w:val="center"/>
        <w:rPr>
          <w:rFonts w:ascii="宋体" w:hAnsi="宋体"/>
          <w:b/>
          <w:sz w:val="48"/>
          <w:szCs w:val="48"/>
        </w:rPr>
      </w:pPr>
    </w:p>
    <w:p>
      <w:pPr>
        <w:ind w:firstLine="0" w:firstLineChars="0"/>
        <w:jc w:val="center"/>
        <w:rPr>
          <w:rFonts w:ascii="宋体" w:hAnsi="宋体"/>
          <w:b/>
          <w:sz w:val="48"/>
          <w:szCs w:val="48"/>
        </w:rPr>
      </w:pPr>
    </w:p>
    <w:p>
      <w:pPr>
        <w:ind w:firstLine="0" w:firstLineChars="0"/>
        <w:jc w:val="center"/>
        <w:rPr>
          <w:rFonts w:ascii="宋体" w:hAnsi="宋体" w:cs="宋体"/>
          <w:sz w:val="32"/>
          <w:szCs w:val="32"/>
        </w:rPr>
      </w:pPr>
      <w:r>
        <w:rPr>
          <w:rFonts w:hint="eastAsia" w:ascii="宋体" w:hAnsi="宋体"/>
          <w:b/>
          <w:sz w:val="56"/>
          <w:szCs w:val="84"/>
        </w:rPr>
        <w:t>山东省省</w:t>
      </w:r>
      <w:r>
        <w:rPr>
          <w:rFonts w:ascii="宋体" w:hAnsi="宋体"/>
          <w:b/>
          <w:sz w:val="56"/>
          <w:szCs w:val="84"/>
        </w:rPr>
        <w:t>级</w:t>
      </w:r>
      <w:r>
        <w:rPr>
          <w:rFonts w:hint="eastAsia" w:ascii="宋体" w:hAnsi="宋体"/>
          <w:b/>
          <w:sz w:val="56"/>
          <w:szCs w:val="84"/>
        </w:rPr>
        <w:t>政府</w:t>
      </w:r>
      <w:r>
        <w:rPr>
          <w:rFonts w:ascii="宋体" w:hAnsi="宋体"/>
          <w:b/>
          <w:sz w:val="56"/>
          <w:szCs w:val="84"/>
        </w:rPr>
        <w:t>采购网上</w:t>
      </w:r>
      <w:r>
        <w:rPr>
          <w:rFonts w:hint="eastAsia" w:ascii="宋体" w:hAnsi="宋体"/>
          <w:b/>
          <w:sz w:val="56"/>
          <w:szCs w:val="84"/>
        </w:rPr>
        <w:t>商城</w:t>
      </w:r>
    </w:p>
    <w:p>
      <w:pPr>
        <w:ind w:firstLine="0" w:firstLineChars="0"/>
        <w:jc w:val="center"/>
        <w:rPr>
          <w:rFonts w:ascii="宋体" w:hAnsi="宋体" w:cs="宋体"/>
          <w:sz w:val="32"/>
          <w:szCs w:val="32"/>
        </w:rPr>
      </w:pPr>
    </w:p>
    <w:p>
      <w:pPr>
        <w:ind w:firstLine="0" w:firstLineChars="0"/>
        <w:jc w:val="center"/>
        <w:rPr>
          <w:rFonts w:ascii="宋体" w:hAnsi="宋体"/>
          <w:b/>
          <w:sz w:val="72"/>
          <w:szCs w:val="72"/>
        </w:rPr>
      </w:pPr>
      <w:r>
        <w:rPr>
          <w:rFonts w:hint="eastAsia" w:ascii="宋体" w:hAnsi="宋体"/>
          <w:b/>
          <w:sz w:val="72"/>
          <w:szCs w:val="72"/>
        </w:rPr>
        <w:t>供应商承诺入驻操作手册</w:t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0" w:firstLineChars="0"/>
        <w:jc w:val="center"/>
        <w:rPr>
          <w:sz w:val="32"/>
          <w:szCs w:val="32"/>
        </w:rPr>
      </w:pPr>
    </w:p>
    <w:p>
      <w:pPr>
        <w:ind w:firstLine="0" w:firstLineChars="0"/>
        <w:jc w:val="center"/>
        <w:rPr>
          <w:rFonts w:ascii="宋体" w:hAnsi="宋体" w:cs="宋体"/>
          <w:sz w:val="32"/>
          <w:szCs w:val="32"/>
        </w:rPr>
      </w:pPr>
      <w:r>
        <w:rPr>
          <w:rFonts w:hint="eastAsia" w:ascii="宋体" w:hAnsi="宋体" w:cs="宋体"/>
          <w:sz w:val="32"/>
          <w:szCs w:val="32"/>
        </w:rPr>
        <w:t>2020年</w:t>
      </w:r>
      <w:r>
        <w:rPr>
          <w:rFonts w:hint="eastAsia" w:ascii="宋体" w:hAnsi="宋体" w:cs="宋体"/>
          <w:sz w:val="32"/>
          <w:szCs w:val="32"/>
          <w:lang w:val="en-US" w:eastAsia="zh-CN"/>
        </w:rPr>
        <w:t>10</w:t>
      </w:r>
      <w:r>
        <w:rPr>
          <w:rFonts w:hint="eastAsia" w:ascii="宋体" w:hAnsi="宋体" w:cs="宋体"/>
          <w:sz w:val="32"/>
          <w:szCs w:val="32"/>
        </w:rPr>
        <w:t>月</w:t>
      </w:r>
    </w:p>
    <w:p>
      <w:pPr>
        <w:ind w:firstLine="0" w:firstLineChars="0"/>
        <w:jc w:val="center"/>
        <w:rPr>
          <w:rFonts w:cs="宋体"/>
          <w:b/>
          <w:sz w:val="30"/>
          <w:szCs w:val="30"/>
          <w:lang w:bidi="ar"/>
        </w:rPr>
      </w:pPr>
    </w:p>
    <w:p>
      <w:pPr>
        <w:ind w:firstLine="0" w:firstLineChars="0"/>
        <w:jc w:val="center"/>
        <w:rPr>
          <w:rFonts w:cs="宋体"/>
          <w:b/>
          <w:sz w:val="30"/>
          <w:szCs w:val="30"/>
          <w:lang w:bidi="ar"/>
        </w:rPr>
      </w:pPr>
    </w:p>
    <w:p>
      <w:pPr>
        <w:ind w:firstLine="0" w:firstLineChars="0"/>
        <w:jc w:val="center"/>
        <w:rPr>
          <w:rFonts w:cs="宋体"/>
          <w:b/>
          <w:sz w:val="30"/>
          <w:szCs w:val="30"/>
          <w:lang w:bidi="ar"/>
        </w:rPr>
      </w:pPr>
    </w:p>
    <w:p>
      <w:pPr>
        <w:ind w:firstLine="0" w:firstLineChars="0"/>
        <w:jc w:val="center"/>
        <w:rPr>
          <w:rFonts w:cs="宋体"/>
          <w:b/>
          <w:sz w:val="30"/>
          <w:szCs w:val="30"/>
          <w:lang w:bidi="ar"/>
        </w:rPr>
      </w:pPr>
    </w:p>
    <w:sdt>
      <w:sdtPr>
        <w:rPr>
          <w:rFonts w:ascii="宋体" w:hAnsi="宋体"/>
          <w:sz w:val="21"/>
        </w:rPr>
        <w:id w:val="147472603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cs="宋体"/>
          <w:sz w:val="24"/>
          <w:szCs w:val="30"/>
          <w:lang w:bidi="ar"/>
        </w:rPr>
      </w:sdtEndPr>
      <w:sdtContent>
        <w:p>
          <w:pPr>
            <w:spacing w:line="240" w:lineRule="auto"/>
            <w:ind w:firstLine="0" w:firstLineChars="0"/>
            <w:jc w:val="center"/>
            <w:rPr>
              <w:rFonts w:asciiTheme="majorEastAsia" w:hAnsiTheme="majorEastAsia" w:eastAsiaTheme="majorEastAsia" w:cstheme="majorEastAsia"/>
              <w:sz w:val="36"/>
              <w:szCs w:val="36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36"/>
            </w:rPr>
            <w:t>目录</w:t>
          </w:r>
        </w:p>
        <w:p>
          <w:pPr>
            <w:pStyle w:val="11"/>
            <w:tabs>
              <w:tab w:val="right" w:leader="dot" w:pos="8306"/>
            </w:tabs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b/>
              <w:sz w:val="40"/>
              <w:szCs w:val="40"/>
              <w:lang w:bidi="ar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/>
              <w:sz w:val="40"/>
              <w:szCs w:val="40"/>
              <w:lang w:bidi="ar"/>
            </w:rPr>
            <w:instrText xml:space="preserve">TOC \o "1-3" \h \u </w:instrText>
          </w:r>
          <w:r>
            <w:rPr>
              <w:rFonts w:hint="eastAsia" w:asciiTheme="majorEastAsia" w:hAnsiTheme="majorEastAsia" w:eastAsiaTheme="majorEastAsia" w:cstheme="majorEastAsia"/>
              <w:b/>
              <w:sz w:val="40"/>
              <w:szCs w:val="40"/>
              <w:lang w:bidi="ar"/>
            </w:rPr>
            <w:fldChar w:fldCharType="separate"/>
          </w:r>
          <w:r>
            <w:fldChar w:fldCharType="begin"/>
          </w:r>
          <w:r>
            <w:instrText xml:space="preserve"> HYPERLINK \l "_Toc24176"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56"/>
            </w:rPr>
            <w:t xml:space="preserve">1. 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用户登录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_Toc24176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2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480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"_Toc5988"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1.1. 进入网站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_Toc5988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2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480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"_Toc20926"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1.2. 商城登录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_Toc20926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3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480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"_Toc6468"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1.3. 退出商城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_Toc6468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4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"_Toc11363"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56"/>
            </w:rPr>
            <w:t xml:space="preserve">2. 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后台管理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_Toc11363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5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480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"_Toc3489"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2.1. 申请入驻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_Toc3489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6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480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"_Toc21258"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2.2. 企业入驻声明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_Toc21258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6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480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"_Toc23699"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2.3. 供应商类型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_Toc23699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7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480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"_Toc13081"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2.4. 超市厂商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_Toc13081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7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480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"_Toc5335"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2.5. 厂商授权代理商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_Toc5335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9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480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"_Toc17309"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2.6. 超市电商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_Toc17309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10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480"/>
            <w:rPr>
              <w:rFonts w:asciiTheme="majorEastAsia" w:hAnsiTheme="majorEastAsia" w:eastAsiaTheme="majorEastAsia" w:cstheme="maj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"_Toc28539"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2.7. 定点供应商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PAGEREF _Toc28539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t>12</w: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ind w:firstLine="0" w:firstLineChars="0"/>
            <w:jc w:val="center"/>
            <w:rPr>
              <w:rFonts w:cs="宋体"/>
              <w:szCs w:val="30"/>
              <w:lang w:bidi="ar"/>
            </w:rPr>
          </w:pPr>
          <w:r>
            <w:rPr>
              <w:rFonts w:hint="eastAsia" w:asciiTheme="majorEastAsia" w:hAnsiTheme="majorEastAsia" w:eastAsiaTheme="majorEastAsia" w:cstheme="majorEastAsia"/>
              <w:sz w:val="36"/>
              <w:szCs w:val="40"/>
              <w:lang w:bidi="ar"/>
            </w:rPr>
            <w:fldChar w:fldCharType="end"/>
          </w:r>
        </w:p>
      </w:sdtContent>
    </w:sdt>
    <w:p>
      <w:pPr>
        <w:ind w:firstLine="0" w:firstLineChars="0"/>
        <w:jc w:val="center"/>
        <w:rPr>
          <w:rFonts w:cs="宋体"/>
          <w:szCs w:val="30"/>
          <w:lang w:bidi="ar"/>
        </w:rPr>
      </w:pPr>
    </w:p>
    <w:p>
      <w:pPr>
        <w:ind w:firstLine="0" w:firstLineChars="0"/>
        <w:jc w:val="center"/>
        <w:rPr>
          <w:rFonts w:cs="宋体"/>
          <w:szCs w:val="30"/>
          <w:lang w:bidi="ar"/>
        </w:rPr>
      </w:pPr>
    </w:p>
    <w:p>
      <w:pPr>
        <w:ind w:firstLine="0" w:firstLineChars="0"/>
        <w:jc w:val="center"/>
        <w:rPr>
          <w:rFonts w:cs="宋体"/>
          <w:szCs w:val="30"/>
          <w:lang w:bidi="ar"/>
        </w:rPr>
      </w:pPr>
    </w:p>
    <w:p>
      <w:pPr>
        <w:ind w:firstLine="0" w:firstLineChars="0"/>
        <w:jc w:val="center"/>
        <w:rPr>
          <w:rFonts w:cs="宋体"/>
          <w:szCs w:val="30"/>
          <w:lang w:bidi="ar"/>
        </w:rPr>
      </w:pPr>
    </w:p>
    <w:p>
      <w:pPr>
        <w:ind w:firstLine="0" w:firstLineChars="0"/>
        <w:jc w:val="center"/>
        <w:rPr>
          <w:rFonts w:cs="宋体"/>
          <w:szCs w:val="30"/>
          <w:lang w:bidi="ar"/>
        </w:rPr>
      </w:pPr>
    </w:p>
    <w:p>
      <w:pPr>
        <w:ind w:firstLine="0" w:firstLineChars="0"/>
        <w:jc w:val="center"/>
        <w:rPr>
          <w:rFonts w:cs="宋体"/>
          <w:szCs w:val="30"/>
          <w:lang w:bidi="ar"/>
        </w:rPr>
      </w:pPr>
    </w:p>
    <w:p>
      <w:pPr>
        <w:ind w:firstLine="0" w:firstLineChars="0"/>
        <w:jc w:val="center"/>
        <w:rPr>
          <w:rFonts w:cs="宋体"/>
          <w:szCs w:val="30"/>
          <w:lang w:bidi="ar"/>
        </w:rPr>
      </w:pPr>
    </w:p>
    <w:p>
      <w:pPr>
        <w:ind w:firstLine="0" w:firstLineChars="0"/>
        <w:jc w:val="center"/>
        <w:rPr>
          <w:rFonts w:cs="宋体"/>
          <w:szCs w:val="30"/>
          <w:lang w:bidi="ar"/>
        </w:rPr>
      </w:pPr>
    </w:p>
    <w:p>
      <w:pPr>
        <w:ind w:firstLine="0" w:firstLineChars="0"/>
        <w:jc w:val="center"/>
        <w:rPr>
          <w:rFonts w:cs="宋体"/>
          <w:szCs w:val="30"/>
          <w:lang w:bidi="ar"/>
        </w:rPr>
      </w:pPr>
    </w:p>
    <w:p>
      <w:pPr>
        <w:ind w:firstLine="0" w:firstLineChars="0"/>
        <w:jc w:val="center"/>
        <w:rPr>
          <w:rFonts w:cs="宋体"/>
          <w:szCs w:val="30"/>
          <w:lang w:bidi="ar"/>
        </w:rPr>
      </w:pPr>
    </w:p>
    <w:p>
      <w:pPr>
        <w:ind w:firstLine="0" w:firstLineChars="0"/>
        <w:jc w:val="center"/>
        <w:rPr>
          <w:rFonts w:cs="宋体"/>
          <w:szCs w:val="30"/>
          <w:lang w:bidi="ar"/>
        </w:rPr>
      </w:pPr>
    </w:p>
    <w:p>
      <w:pPr>
        <w:ind w:firstLine="0" w:firstLineChars="0"/>
        <w:jc w:val="center"/>
        <w:rPr>
          <w:rFonts w:cs="宋体"/>
          <w:szCs w:val="30"/>
          <w:lang w:bidi="ar"/>
        </w:rPr>
      </w:pPr>
    </w:p>
    <w:p>
      <w:pPr>
        <w:ind w:firstLine="0" w:firstLineChars="0"/>
        <w:jc w:val="center"/>
        <w:rPr>
          <w:rFonts w:cs="宋体"/>
          <w:szCs w:val="30"/>
          <w:lang w:bidi="ar"/>
        </w:rPr>
      </w:pPr>
    </w:p>
    <w:p>
      <w:pPr>
        <w:ind w:firstLine="0" w:firstLineChars="0"/>
        <w:jc w:val="center"/>
        <w:rPr>
          <w:rFonts w:cs="宋体"/>
          <w:szCs w:val="30"/>
          <w:lang w:bidi="ar"/>
        </w:rPr>
      </w:pPr>
    </w:p>
    <w:p>
      <w:pPr>
        <w:ind w:firstLine="0" w:firstLineChars="0"/>
        <w:jc w:val="center"/>
        <w:rPr>
          <w:rFonts w:cs="宋体"/>
          <w:szCs w:val="30"/>
          <w:lang w:bidi="ar"/>
        </w:rPr>
      </w:pPr>
    </w:p>
    <w:p>
      <w:pPr>
        <w:ind w:firstLine="0" w:firstLineChars="0"/>
        <w:jc w:val="center"/>
        <w:rPr>
          <w:rFonts w:cs="宋体"/>
          <w:szCs w:val="30"/>
          <w:lang w:bidi="ar"/>
        </w:rPr>
      </w:pPr>
    </w:p>
    <w:p>
      <w:pPr>
        <w:ind w:firstLine="0" w:firstLineChars="0"/>
        <w:jc w:val="center"/>
        <w:rPr>
          <w:rFonts w:cs="宋体"/>
          <w:szCs w:val="30"/>
          <w:lang w:bidi="ar"/>
        </w:rPr>
      </w:pPr>
    </w:p>
    <w:p>
      <w:pPr>
        <w:ind w:firstLine="0" w:firstLineChars="0"/>
        <w:jc w:val="center"/>
        <w:rPr>
          <w:rFonts w:cs="宋体"/>
          <w:szCs w:val="30"/>
          <w:lang w:bidi="ar"/>
        </w:rPr>
      </w:pPr>
    </w:p>
    <w:p>
      <w:pPr>
        <w:ind w:firstLine="0" w:firstLineChars="0"/>
        <w:jc w:val="center"/>
        <w:rPr>
          <w:rFonts w:cs="宋体"/>
          <w:szCs w:val="30"/>
          <w:lang w:bidi="ar"/>
        </w:rPr>
      </w:pPr>
    </w:p>
    <w:p>
      <w:pPr>
        <w:pStyle w:val="2"/>
      </w:pPr>
      <w:bookmarkStart w:id="0" w:name="_Toc24176"/>
      <w:bookmarkStart w:id="1" w:name="_Toc2373"/>
      <w:r>
        <w:rPr>
          <w:rFonts w:hint="eastAsia"/>
        </w:rPr>
        <w:t>用户</w:t>
      </w:r>
      <w:r>
        <w:t>登录</w:t>
      </w:r>
      <w:bookmarkEnd w:id="0"/>
      <w:bookmarkEnd w:id="1"/>
    </w:p>
    <w:p>
      <w:pPr>
        <w:pStyle w:val="3"/>
      </w:pPr>
      <w:bookmarkStart w:id="2" w:name="_Toc20227"/>
      <w:bookmarkStart w:id="3" w:name="_Toc5988"/>
      <w:r>
        <w:rPr>
          <w:rFonts w:hint="eastAsia"/>
        </w:rPr>
        <w:t>进入网站</w:t>
      </w:r>
      <w:bookmarkEnd w:id="2"/>
      <w:bookmarkEnd w:id="3"/>
    </w:p>
    <w:p>
      <w:pPr>
        <w:ind w:firstLine="480"/>
      </w:pPr>
      <w:r>
        <w:rPr>
          <w:rFonts w:hint="eastAsia"/>
        </w:rPr>
        <w:t>输入网址http://www.ccgp-shandong.gov.cn/进入</w:t>
      </w:r>
      <w:r>
        <w:rPr>
          <w:rFonts w:hint="eastAsia"/>
          <w:lang w:val="en-US" w:eastAsia="zh-CN"/>
        </w:rPr>
        <w:t>中国山东政府</w:t>
      </w:r>
      <w:r>
        <w:rPr>
          <w:rFonts w:hint="eastAsia"/>
        </w:rPr>
        <w:t>采购网或www.sdzfcg.gov.cn进入山东政府集中采购网，点击【网上商城】，进入商城首页；或直接输入http://ggzyjyzx.shandong.gov.cn/wssc/sdszfcg/进入商城。</w:t>
      </w:r>
    </w:p>
    <w:p>
      <w:pPr>
        <w:ind w:firstLine="480"/>
      </w:pPr>
      <w:r>
        <w:rPr>
          <w:rFonts w:hint="eastAsia"/>
        </w:rPr>
        <w:t>注意：供应商账号需要</w:t>
      </w:r>
      <w:r>
        <w:rPr>
          <w:rFonts w:hint="eastAsia"/>
          <w:lang w:val="en-US" w:eastAsia="zh-CN"/>
        </w:rPr>
        <w:t>在中国山东政府采购网</w:t>
      </w:r>
      <w:r>
        <w:rPr>
          <w:rFonts w:hint="eastAsia"/>
        </w:rPr>
        <w:t>注册，网上商城账号密码与</w:t>
      </w:r>
      <w:r>
        <w:rPr>
          <w:rFonts w:hint="eastAsia"/>
          <w:lang w:val="en-US" w:eastAsia="zh-CN"/>
        </w:rPr>
        <w:t>中国山东政府采购网</w:t>
      </w:r>
      <w:r>
        <w:rPr>
          <w:rFonts w:hint="eastAsia"/>
        </w:rPr>
        <w:t>的账号密码一致，如需修改账号密码，或忘记密码找回，请到山东省政府采购信息公开平台系统中操作，网上商城不提供账号密码修改或找回的功能。</w:t>
      </w:r>
      <w:bookmarkStart w:id="17" w:name="_GoBack"/>
      <w:bookmarkEnd w:id="17"/>
    </w:p>
    <w:p>
      <w:pPr>
        <w:ind w:firstLine="0" w:firstLineChars="0"/>
      </w:pPr>
      <w:r>
        <w:drawing>
          <wp:inline distT="0" distB="0" distL="114300" distR="114300">
            <wp:extent cx="5262880" cy="2344420"/>
            <wp:effectExtent l="0" t="0" r="762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00"/>
        <w:jc w:val="center"/>
        <w:rPr>
          <w:rFonts w:hint="default"/>
          <w:lang w:val="en-US" w:eastAsia="zh-CN"/>
        </w:rPr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t xml:space="preserve"> </w:t>
      </w:r>
      <w:r>
        <w:rPr>
          <w:rFonts w:hint="eastAsia"/>
          <w:lang w:val="en-US" w:eastAsia="zh-CN"/>
        </w:rPr>
        <w:t>用户名密码找回</w:t>
      </w:r>
    </w:p>
    <w:p>
      <w:pPr>
        <w:ind w:firstLine="0" w:firstLineChars="0"/>
      </w:pPr>
      <w:r>
        <w:drawing>
          <wp:inline distT="0" distB="0" distL="114300" distR="114300">
            <wp:extent cx="5269865" cy="2400935"/>
            <wp:effectExtent l="0" t="0" r="635" b="1206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00"/>
        <w:jc w:val="center"/>
      </w:pPr>
      <w:r>
        <w:rPr>
          <w:rFonts w:hint="eastAsia"/>
        </w:rPr>
        <w:t xml:space="preserve">图 </w:t>
      </w:r>
      <w:r>
        <w:rPr>
          <w:rFonts w:hint="eastAsia"/>
          <w:lang w:val="en-US" w:eastAsia="zh-CN"/>
        </w:rPr>
        <w:t>2</w:t>
      </w:r>
      <w:r>
        <w:t xml:space="preserve"> </w:t>
      </w:r>
      <w:r>
        <w:rPr>
          <w:rFonts w:hint="eastAsia"/>
        </w:rPr>
        <w:t>网上</w:t>
      </w:r>
      <w:r>
        <w:t>商城入口</w:t>
      </w:r>
    </w:p>
    <w:p>
      <w:pPr>
        <w:pStyle w:val="3"/>
      </w:pPr>
      <w:bookmarkStart w:id="4" w:name="_Toc599"/>
      <w:bookmarkStart w:id="5" w:name="_Toc20926"/>
      <w:r>
        <w:rPr>
          <w:rFonts w:hint="eastAsia"/>
        </w:rPr>
        <w:t>商城</w:t>
      </w:r>
      <w:r>
        <w:t>登录</w:t>
      </w:r>
      <w:bookmarkEnd w:id="4"/>
      <w:bookmarkEnd w:id="5"/>
    </w:p>
    <w:p>
      <w:pPr>
        <w:ind w:firstLine="480"/>
      </w:pPr>
      <w:r>
        <w:rPr>
          <w:rFonts w:hint="eastAsia"/>
        </w:rPr>
        <w:t>进入</w:t>
      </w:r>
      <w:r>
        <w:t>商城后，</w:t>
      </w:r>
      <w:r>
        <w:rPr>
          <w:rFonts w:hint="eastAsia"/>
        </w:rPr>
        <w:t>选择【供应商</w:t>
      </w:r>
      <w:r>
        <w:t>登录</w:t>
      </w:r>
      <w:r>
        <w:rPr>
          <w:rFonts w:hint="eastAsia"/>
        </w:rPr>
        <w:t>】，</w:t>
      </w:r>
      <w:r>
        <w:t>点击之后出现</w:t>
      </w:r>
      <w:r>
        <w:rPr>
          <w:rFonts w:hint="eastAsia"/>
        </w:rPr>
        <w:t xml:space="preserve">登录界面； </w:t>
      </w:r>
    </w:p>
    <w:p>
      <w:pPr>
        <w:ind w:firstLine="0" w:firstLineChars="0"/>
      </w:pPr>
      <w:r>
        <w:drawing>
          <wp:inline distT="0" distB="0" distL="114300" distR="114300">
            <wp:extent cx="5278120" cy="256857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00"/>
        <w:jc w:val="center"/>
      </w:pPr>
    </w:p>
    <w:p>
      <w:pPr>
        <w:ind w:firstLine="480"/>
      </w:pPr>
      <w:r>
        <w:t>输入账号</w:t>
      </w:r>
      <w:r>
        <w:rPr>
          <w:rFonts w:hint="eastAsia"/>
        </w:rPr>
        <w:t>密码</w:t>
      </w:r>
      <w:r>
        <w:t>即可进入网上商城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如图3所示：</w:t>
      </w:r>
    </w:p>
    <w:p>
      <w:pPr>
        <w:ind w:firstLine="0" w:firstLineChars="0"/>
      </w:pPr>
      <w:r>
        <w:drawing>
          <wp:inline distT="0" distB="0" distL="114300" distR="114300">
            <wp:extent cx="5271135" cy="2096135"/>
            <wp:effectExtent l="0" t="0" r="12065" b="1206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00"/>
        <w:jc w:val="center"/>
      </w:pPr>
      <w:r>
        <w:rPr>
          <w:rFonts w:hint="eastAsia"/>
        </w:rPr>
        <w:t xml:space="preserve">图 </w:t>
      </w:r>
      <w:r>
        <w:rPr>
          <w:rFonts w:hint="eastAsia"/>
          <w:lang w:val="en-US" w:eastAsia="zh-CN"/>
        </w:rPr>
        <w:t>3</w:t>
      </w:r>
      <w:r>
        <w:t xml:space="preserve"> </w:t>
      </w:r>
      <w:r>
        <w:rPr>
          <w:rFonts w:hint="eastAsia"/>
        </w:rPr>
        <w:t>选择</w:t>
      </w:r>
      <w:r>
        <w:t>角色登录</w:t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pStyle w:val="3"/>
      </w:pPr>
      <w:bookmarkStart w:id="6" w:name="_Toc16802"/>
      <w:bookmarkStart w:id="7" w:name="_Toc6468"/>
      <w:r>
        <w:rPr>
          <w:rFonts w:hint="eastAsia"/>
        </w:rPr>
        <w:t>退出</w:t>
      </w:r>
      <w:r>
        <w:t>商城</w:t>
      </w:r>
      <w:bookmarkEnd w:id="6"/>
      <w:bookmarkEnd w:id="7"/>
    </w:p>
    <w:p>
      <w:pPr>
        <w:ind w:firstLine="480"/>
      </w:pPr>
      <w:r>
        <w:rPr>
          <w:rFonts w:hint="eastAsia"/>
        </w:rPr>
        <w:t>供应商</w:t>
      </w:r>
      <w:r>
        <w:t>在登录状态下，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退出</w:t>
      </w:r>
      <w:r>
        <w:t>登录】</w:t>
      </w:r>
      <w:r>
        <w:rPr>
          <w:rFonts w:hint="eastAsia"/>
        </w:rPr>
        <w:t>即可</w:t>
      </w:r>
      <w:r>
        <w:t>退出商城。</w:t>
      </w:r>
      <w:r>
        <w:rPr>
          <w:rFonts w:hint="eastAsia"/>
          <w:lang w:val="en-US" w:eastAsia="zh-CN"/>
        </w:rPr>
        <w:t>如图4所示：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9230" cy="2765425"/>
            <wp:effectExtent l="0" t="0" r="381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cs="宋体"/>
          <w:b/>
          <w:sz w:val="30"/>
          <w:szCs w:val="30"/>
          <w:lang w:bidi="ar"/>
        </w:rPr>
      </w:pPr>
      <w:r>
        <w:rPr>
          <w:rFonts w:hint="eastAsia" w:ascii="Calibri Light" w:hAnsi="Calibri Light" w:eastAsia="黑体"/>
          <w:sz w:val="20"/>
          <w:szCs w:val="20"/>
        </w:rPr>
        <w:t>图4退出页面</w:t>
      </w:r>
    </w:p>
    <w:p>
      <w:pPr>
        <w:pStyle w:val="2"/>
      </w:pPr>
      <w:bookmarkStart w:id="8" w:name="_Toc11363"/>
      <w:bookmarkStart w:id="9" w:name="_Toc791"/>
      <w:r>
        <w:rPr>
          <w:rFonts w:hint="eastAsia"/>
        </w:rPr>
        <w:t>后台</w:t>
      </w:r>
      <w:r>
        <w:t>管理</w:t>
      </w:r>
      <w:bookmarkEnd w:id="8"/>
      <w:bookmarkEnd w:id="9"/>
    </w:p>
    <w:p>
      <w:pPr>
        <w:ind w:firstLine="480"/>
      </w:pPr>
      <w:r>
        <w:rPr>
          <w:rFonts w:hint="eastAsia"/>
        </w:rPr>
        <w:t>供应商</w:t>
      </w:r>
      <w:r>
        <w:t>登录之后，点击【</w:t>
      </w:r>
      <w:r>
        <w:rPr>
          <w:rFonts w:hint="eastAsia"/>
        </w:rPr>
        <w:t>进入</w:t>
      </w:r>
      <w:r>
        <w:t>后台管理】</w:t>
      </w:r>
      <w:r>
        <w:rPr>
          <w:rFonts w:hint="eastAsia"/>
        </w:rPr>
        <w:t>即可进入</w:t>
      </w:r>
      <w:r>
        <w:t>后台界面，后台管理部分包括【</w:t>
      </w:r>
      <w:r>
        <w:rPr>
          <w:rFonts w:hint="eastAsia"/>
        </w:rPr>
        <w:t>平台</w:t>
      </w:r>
      <w:r>
        <w:t>管理】</w:t>
      </w:r>
      <w:r>
        <w:rPr>
          <w:rFonts w:hint="eastAsia"/>
        </w:rPr>
        <w:t>【定点</w:t>
      </w:r>
      <w:r>
        <w:t>采购</w:t>
      </w:r>
      <w:r>
        <w:rPr>
          <w:rFonts w:hint="eastAsia"/>
        </w:rPr>
        <w:t>】【批量集采】等</w:t>
      </w:r>
      <w:r>
        <w:t>内容，后台内容会根据供应商的分类</w:t>
      </w:r>
      <w:r>
        <w:rPr>
          <w:rFonts w:hint="eastAsia"/>
        </w:rPr>
        <w:t>分别</w:t>
      </w:r>
      <w:r>
        <w:t>显示内容</w:t>
      </w:r>
      <w:r>
        <w:rPr>
          <w:rFonts w:hint="eastAsia"/>
        </w:rPr>
        <w:t>。</w:t>
      </w:r>
    </w:p>
    <w:p>
      <w:pPr>
        <w:ind w:firstLine="480"/>
      </w:pPr>
      <w:r>
        <w:rPr>
          <w:rFonts w:hint="eastAsia"/>
        </w:rPr>
        <w:t>进入后台，供应商点击【申请承诺入驻】按钮，进入供应商入驻申请页面。</w:t>
      </w:r>
      <w:r>
        <w:rPr>
          <w:rFonts w:hint="eastAsia"/>
          <w:lang w:val="en-US" w:eastAsia="zh-CN"/>
        </w:rPr>
        <w:t>如图5所示：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6690" cy="2219325"/>
            <wp:effectExtent l="0" t="0" r="635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Calibri Light" w:hAnsi="Calibri Light" w:eastAsia="黑体"/>
          <w:sz w:val="20"/>
          <w:szCs w:val="20"/>
        </w:rPr>
      </w:pPr>
      <w:r>
        <w:rPr>
          <w:rFonts w:hint="eastAsia" w:ascii="Calibri Light" w:hAnsi="Calibri Light" w:eastAsia="黑体"/>
          <w:sz w:val="20"/>
          <w:szCs w:val="20"/>
        </w:rPr>
        <w:t>图5后台页面</w:t>
      </w:r>
    </w:p>
    <w:p>
      <w:pPr>
        <w:ind w:firstLine="0" w:firstLineChars="0"/>
      </w:pPr>
    </w:p>
    <w:p>
      <w:pPr>
        <w:ind w:firstLine="0" w:firstLineChars="0"/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pStyle w:val="3"/>
      </w:pPr>
      <w:bookmarkStart w:id="10" w:name="_Toc3489"/>
      <w:r>
        <w:rPr>
          <w:rFonts w:hint="eastAsia"/>
        </w:rPr>
        <w:t>申请入驻</w:t>
      </w:r>
      <w:bookmarkEnd w:id="10"/>
    </w:p>
    <w:p>
      <w:pPr>
        <w:ind w:firstLine="480"/>
      </w:pPr>
      <w:r>
        <w:rPr>
          <w:rFonts w:hint="eastAsia"/>
        </w:rPr>
        <w:t>供应商进入基本系统填写页面，首先需要上传营业执照，</w:t>
      </w:r>
      <w:r>
        <w:rPr>
          <w:rFonts w:hint="eastAsia"/>
          <w:lang w:val="en-US" w:eastAsia="zh-CN"/>
        </w:rPr>
        <w:t>如图6所示：</w:t>
      </w:r>
    </w:p>
    <w:p>
      <w:pPr>
        <w:ind w:firstLine="480"/>
      </w:pPr>
      <w:r>
        <w:drawing>
          <wp:inline distT="0" distB="0" distL="114300" distR="114300">
            <wp:extent cx="5264785" cy="2585720"/>
            <wp:effectExtent l="0" t="0" r="825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Calibri Light" w:hAnsi="Calibri Light" w:eastAsia="黑体"/>
          <w:sz w:val="20"/>
          <w:szCs w:val="20"/>
        </w:rPr>
      </w:pPr>
      <w:r>
        <w:rPr>
          <w:rFonts w:hint="eastAsia" w:ascii="Calibri Light" w:hAnsi="Calibri Light" w:eastAsia="黑体"/>
          <w:sz w:val="20"/>
          <w:szCs w:val="20"/>
        </w:rPr>
        <w:t>图6申请入驻</w:t>
      </w:r>
    </w:p>
    <w:p>
      <w:pPr>
        <w:pStyle w:val="3"/>
      </w:pPr>
      <w:bookmarkStart w:id="11" w:name="_Toc21258"/>
      <w:r>
        <w:rPr>
          <w:rFonts w:hint="eastAsia"/>
        </w:rPr>
        <w:t>企业入驻声明</w:t>
      </w:r>
      <w:bookmarkEnd w:id="11"/>
    </w:p>
    <w:p>
      <w:pPr>
        <w:tabs>
          <w:tab w:val="left" w:pos="0"/>
        </w:tabs>
        <w:ind w:firstLine="0" w:firstLineChars="0"/>
        <w:jc w:val="left"/>
      </w:pPr>
      <w:r>
        <w:rPr>
          <w:rFonts w:hint="eastAsia"/>
        </w:rPr>
        <w:t>进入网上供应商企业声明页面，需要选择企业类型—企业是否属于民营企业——企业是否属于高新技术范围—上传附件等基本操作。</w:t>
      </w:r>
      <w:r>
        <w:rPr>
          <w:rFonts w:hint="eastAsia"/>
          <w:lang w:val="en-US" w:eastAsia="zh-CN"/>
        </w:rPr>
        <w:t>如图7所示：</w:t>
      </w:r>
      <w:r>
        <w:drawing>
          <wp:inline distT="0" distB="0" distL="114300" distR="114300">
            <wp:extent cx="5268595" cy="2867660"/>
            <wp:effectExtent l="0" t="0" r="444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ind w:firstLine="0" w:firstLineChars="0"/>
        <w:jc w:val="center"/>
        <w:rPr>
          <w:rFonts w:hint="eastAsia" w:eastAsia="黑体"/>
          <w:lang w:val="en-US" w:eastAsia="zh-CN"/>
        </w:rPr>
      </w:pPr>
      <w:r>
        <w:rPr>
          <w:rFonts w:hint="eastAsia" w:ascii="Calibri Light" w:hAnsi="Calibri Light" w:eastAsia="黑体"/>
          <w:sz w:val="20"/>
          <w:szCs w:val="20"/>
        </w:rPr>
        <w:t>图</w:t>
      </w:r>
      <w:r>
        <w:rPr>
          <w:rFonts w:hint="eastAsia" w:ascii="Calibri Light" w:hAnsi="Calibri Light" w:eastAsia="黑体"/>
          <w:sz w:val="20"/>
          <w:szCs w:val="20"/>
          <w:lang w:val="en-US" w:eastAsia="zh-CN"/>
        </w:rPr>
        <w:t>7企业</w:t>
      </w:r>
      <w:r>
        <w:rPr>
          <w:rFonts w:hint="eastAsia" w:ascii="Calibri Light" w:hAnsi="Calibri Light" w:eastAsia="黑体"/>
          <w:sz w:val="20"/>
          <w:szCs w:val="20"/>
        </w:rPr>
        <w:t>入驻</w:t>
      </w:r>
      <w:r>
        <w:rPr>
          <w:rFonts w:hint="eastAsia" w:ascii="Calibri Light" w:hAnsi="Calibri Light" w:eastAsia="黑体"/>
          <w:sz w:val="20"/>
          <w:szCs w:val="20"/>
          <w:lang w:val="en-US" w:eastAsia="zh-CN"/>
        </w:rPr>
        <w:t>声明</w:t>
      </w:r>
    </w:p>
    <w:p>
      <w:pPr>
        <w:pStyle w:val="3"/>
      </w:pPr>
      <w:bookmarkStart w:id="12" w:name="_Toc23699"/>
      <w:r>
        <w:rPr>
          <w:rFonts w:hint="eastAsia"/>
        </w:rPr>
        <w:t>供应商类型</w:t>
      </w:r>
      <w:bookmarkEnd w:id="12"/>
    </w:p>
    <w:p>
      <w:pPr>
        <w:tabs>
          <w:tab w:val="left" w:pos="0"/>
        </w:tabs>
        <w:ind w:firstLine="0" w:firstLineChars="0"/>
        <w:jc w:val="left"/>
      </w:pPr>
      <w:r>
        <w:rPr>
          <w:rFonts w:hint="eastAsia"/>
        </w:rPr>
        <w:t>进入供应商类型页面，供应商要根据公司类型选择类型，供应商类型有：超市厂商、厂商授权代理商、超市电商、定点供应商，选择类型后点击下一步进入具体每个类型的详情录入页面。</w:t>
      </w:r>
      <w:r>
        <w:rPr>
          <w:rFonts w:hint="eastAsia"/>
          <w:lang w:val="en-US" w:eastAsia="zh-CN"/>
        </w:rPr>
        <w:t>如图8所示：</w:t>
      </w:r>
      <w:r>
        <w:drawing>
          <wp:inline distT="0" distB="0" distL="114300" distR="114300">
            <wp:extent cx="5273040" cy="293878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ind w:firstLine="0" w:firstLineChars="0"/>
        <w:jc w:val="center"/>
        <w:rPr>
          <w:rFonts w:hint="default" w:eastAsia="黑体"/>
          <w:lang w:val="en-US" w:eastAsia="zh-CN"/>
        </w:rPr>
      </w:pPr>
      <w:r>
        <w:rPr>
          <w:rFonts w:hint="eastAsia" w:ascii="Calibri Light" w:hAnsi="Calibri Light" w:eastAsia="黑体"/>
          <w:sz w:val="20"/>
          <w:szCs w:val="20"/>
        </w:rPr>
        <w:t>图</w:t>
      </w:r>
      <w:r>
        <w:rPr>
          <w:rFonts w:hint="eastAsia" w:ascii="Calibri Light" w:hAnsi="Calibri Light" w:eastAsia="黑体"/>
          <w:sz w:val="20"/>
          <w:szCs w:val="20"/>
          <w:lang w:val="en-US" w:eastAsia="zh-CN"/>
        </w:rPr>
        <w:t>8选择申请入驻的供应商类型</w:t>
      </w:r>
    </w:p>
    <w:p>
      <w:pPr>
        <w:tabs>
          <w:tab w:val="left" w:pos="0"/>
        </w:tabs>
        <w:ind w:firstLine="0" w:firstLineChars="0"/>
        <w:jc w:val="left"/>
      </w:pPr>
      <w:r>
        <w:rPr>
          <w:rFonts w:hint="eastAsia"/>
        </w:rPr>
        <w:t>进入选择供应商类型页面，选择对应的类型，点击下一步时，当之前提交的信息未审核通过时，页面会弹出供应商审核不通过的理由。</w:t>
      </w:r>
      <w:r>
        <w:rPr>
          <w:rFonts w:hint="eastAsia"/>
          <w:lang w:val="en-US" w:eastAsia="zh-CN"/>
        </w:rPr>
        <w:t>如图9所示：</w:t>
      </w:r>
      <w:r>
        <w:drawing>
          <wp:inline distT="0" distB="0" distL="114300" distR="114300">
            <wp:extent cx="5273040" cy="2445385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3" w:name="_Toc13081"/>
    </w:p>
    <w:p>
      <w:pPr>
        <w:tabs>
          <w:tab w:val="left" w:pos="0"/>
        </w:tabs>
        <w:ind w:firstLine="0" w:firstLineChars="0"/>
        <w:jc w:val="center"/>
        <w:rPr>
          <w:rFonts w:hint="default"/>
          <w:lang w:val="en-US"/>
        </w:rPr>
      </w:pPr>
      <w:r>
        <w:rPr>
          <w:rFonts w:hint="eastAsia" w:ascii="Calibri Light" w:hAnsi="Calibri Light" w:eastAsia="黑体"/>
          <w:sz w:val="20"/>
          <w:szCs w:val="20"/>
        </w:rPr>
        <w:t>图</w:t>
      </w:r>
      <w:r>
        <w:rPr>
          <w:rFonts w:hint="eastAsia" w:ascii="Calibri Light" w:hAnsi="Calibri Light" w:eastAsia="黑体"/>
          <w:sz w:val="20"/>
          <w:szCs w:val="20"/>
          <w:lang w:val="en-US" w:eastAsia="zh-CN"/>
        </w:rPr>
        <w:t>9同一类型不可重复申</w:t>
      </w:r>
      <w:bookmarkEnd w:id="13"/>
      <w:r>
        <w:rPr>
          <w:rFonts w:hint="eastAsia" w:ascii="Calibri Light" w:hAnsi="Calibri Light" w:eastAsia="黑体"/>
          <w:sz w:val="20"/>
          <w:szCs w:val="20"/>
          <w:lang w:val="en-US" w:eastAsia="zh-CN"/>
        </w:rPr>
        <w:t>请</w:t>
      </w:r>
    </w:p>
    <w:p>
      <w:pPr>
        <w:pStyle w:val="3"/>
      </w:pPr>
      <w:r>
        <w:rPr>
          <w:rFonts w:hint="eastAsia"/>
          <w:lang w:val="en-US" w:eastAsia="zh-CN"/>
        </w:rPr>
        <w:t>超市厂商</w:t>
      </w:r>
    </w:p>
    <w:p>
      <w:pPr>
        <w:ind w:firstLine="480"/>
        <w:jc w:val="left"/>
      </w:pPr>
      <w:r>
        <w:rPr>
          <w:rFonts w:hint="eastAsia"/>
        </w:rPr>
        <w:t>进入厂商录入页面，根据页面字段要求录入详细的对应数据，每一个录入项都做格式限制，上传数据时请根据格式要求上传，此页面填写完成后点击【下一步】进入集采品目设置折扣率和分配代理商页面。</w:t>
      </w:r>
      <w:r>
        <w:rPr>
          <w:rFonts w:hint="eastAsia"/>
          <w:lang w:val="en-US" w:eastAsia="zh-CN"/>
        </w:rPr>
        <w:t>如图10、11所示：</w:t>
      </w:r>
      <w:r>
        <w:drawing>
          <wp:inline distT="0" distB="0" distL="114300" distR="114300">
            <wp:extent cx="5274310" cy="5109845"/>
            <wp:effectExtent l="0" t="0" r="1397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0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default" w:eastAsia="黑体"/>
          <w:lang w:val="en-US" w:eastAsia="zh-CN"/>
        </w:rPr>
      </w:pPr>
      <w:r>
        <w:rPr>
          <w:rFonts w:hint="eastAsia" w:ascii="Calibri Light" w:hAnsi="Calibri Light" w:eastAsia="黑体"/>
          <w:sz w:val="20"/>
          <w:szCs w:val="20"/>
        </w:rPr>
        <w:t>图</w:t>
      </w:r>
      <w:r>
        <w:rPr>
          <w:rFonts w:hint="eastAsia" w:ascii="Calibri Light" w:hAnsi="Calibri Light" w:eastAsia="黑体"/>
          <w:sz w:val="20"/>
          <w:szCs w:val="20"/>
          <w:lang w:val="en-US" w:eastAsia="zh-CN"/>
        </w:rPr>
        <w:t>10超市厂商填写信息页面</w:t>
      </w:r>
    </w:p>
    <w:p>
      <w:pPr>
        <w:ind w:firstLine="480"/>
        <w:jc w:val="left"/>
      </w:pPr>
      <w:r>
        <w:rPr>
          <w:rFonts w:hint="eastAsia"/>
        </w:rPr>
        <w:t>进入分配代理商页面，如果选择的是集采目录，需要上传折扣率，（每个区间的折扣率不能小于0.5），非集采目录品目不需要设置折扣率；</w:t>
      </w:r>
    </w:p>
    <w:p>
      <w:pPr>
        <w:ind w:firstLine="480"/>
        <w:jc w:val="left"/>
      </w:pPr>
      <w:r>
        <w:rPr>
          <w:rFonts w:hint="eastAsia"/>
        </w:rPr>
        <w:t>进入分配代理商页面，选择品目，点击【添加】按钮，在弹出的页面选择对应的代理商【除汽车品目外，每个品目最少设置5家代理商】，设置完一个品目数据后切换下一个品目时，需要点击【保存】按钮保存数据，数据填写完成后点提交按钮。</w:t>
      </w:r>
      <w:r>
        <w:drawing>
          <wp:inline distT="0" distB="0" distL="114300" distR="114300">
            <wp:extent cx="5268595" cy="4111625"/>
            <wp:effectExtent l="0" t="0" r="444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default" w:eastAsia="黑体"/>
          <w:lang w:val="en-US" w:eastAsia="zh-CN"/>
        </w:rPr>
      </w:pPr>
      <w:r>
        <w:rPr>
          <w:rFonts w:hint="eastAsia" w:ascii="Calibri Light" w:hAnsi="Calibri Light" w:eastAsia="黑体"/>
          <w:sz w:val="20"/>
          <w:szCs w:val="20"/>
        </w:rPr>
        <w:t>图</w:t>
      </w:r>
      <w:r>
        <w:rPr>
          <w:rFonts w:hint="eastAsia" w:ascii="Calibri Light" w:hAnsi="Calibri Light" w:eastAsia="黑体"/>
          <w:sz w:val="20"/>
          <w:szCs w:val="20"/>
          <w:lang w:val="en-US" w:eastAsia="zh-CN"/>
        </w:rPr>
        <w:t>11批量品目折扣率填写页面</w:t>
      </w:r>
    </w:p>
    <w:p>
      <w:pPr>
        <w:pStyle w:val="3"/>
      </w:pPr>
      <w:bookmarkStart w:id="14" w:name="_Toc5335"/>
      <w:r>
        <w:rPr>
          <w:rFonts w:hint="eastAsia"/>
        </w:rPr>
        <w:t>厂商授权代理商</w:t>
      </w:r>
      <w:bookmarkEnd w:id="14"/>
    </w:p>
    <w:p>
      <w:pPr>
        <w:ind w:firstLine="480"/>
        <w:jc w:val="left"/>
      </w:pPr>
      <w:r>
        <w:rPr>
          <w:rFonts w:hint="eastAsia"/>
        </w:rPr>
        <w:t>供应商选择【</w:t>
      </w:r>
      <w:r>
        <w:rPr>
          <w:rFonts w:hint="eastAsia"/>
          <w:lang w:val="en-US" w:eastAsia="zh-CN"/>
        </w:rPr>
        <w:t>厂商</w:t>
      </w:r>
      <w:r>
        <w:rPr>
          <w:rFonts w:hint="eastAsia"/>
        </w:rPr>
        <w:t>授权代理商】</w:t>
      </w:r>
      <w:r>
        <w:rPr>
          <w:rFonts w:hint="eastAsia"/>
          <w:lang w:val="en-US" w:eastAsia="zh-CN"/>
        </w:rPr>
        <w:t>角色</w:t>
      </w:r>
      <w:r>
        <w:rPr>
          <w:rFonts w:hint="eastAsia"/>
        </w:rPr>
        <w:t>进入详情录入页面，信息录入页面，所有上传文件标题前带*号为必填项，信息录入完成后，点击提交按钮。</w:t>
      </w:r>
      <w:r>
        <w:rPr>
          <w:rFonts w:hint="eastAsia"/>
          <w:lang w:val="en-US" w:eastAsia="zh-CN"/>
        </w:rPr>
        <w:t>如图12所示：</w:t>
      </w:r>
      <w:r>
        <w:drawing>
          <wp:inline distT="0" distB="0" distL="114300" distR="114300">
            <wp:extent cx="5272405" cy="4471670"/>
            <wp:effectExtent l="0" t="0" r="63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default" w:eastAsia="黑体"/>
          <w:lang w:val="en-US" w:eastAsia="zh-CN"/>
        </w:rPr>
      </w:pPr>
      <w:r>
        <w:rPr>
          <w:rFonts w:hint="eastAsia" w:ascii="Calibri Light" w:hAnsi="Calibri Light" w:eastAsia="黑体"/>
          <w:sz w:val="20"/>
          <w:szCs w:val="20"/>
        </w:rPr>
        <w:t>图</w:t>
      </w:r>
      <w:r>
        <w:rPr>
          <w:rFonts w:hint="eastAsia" w:ascii="Calibri Light" w:hAnsi="Calibri Light" w:eastAsia="黑体"/>
          <w:sz w:val="20"/>
          <w:szCs w:val="20"/>
          <w:lang w:val="en-US" w:eastAsia="zh-CN"/>
        </w:rPr>
        <w:t>12厂商授权代理商填写信息页面</w:t>
      </w:r>
    </w:p>
    <w:p>
      <w:pPr>
        <w:pStyle w:val="3"/>
      </w:pPr>
      <w:bookmarkStart w:id="15" w:name="_Toc17309"/>
      <w:r>
        <w:rPr>
          <w:rFonts w:hint="eastAsia"/>
        </w:rPr>
        <w:t>超市电商</w:t>
      </w:r>
      <w:bookmarkEnd w:id="15"/>
    </w:p>
    <w:p>
      <w:pPr>
        <w:ind w:firstLine="480"/>
      </w:pPr>
      <w:r>
        <w:rPr>
          <w:rFonts w:hint="eastAsia"/>
        </w:rPr>
        <w:t>进入超市</w:t>
      </w:r>
      <w:r>
        <w:rPr>
          <w:rFonts w:hint="eastAsia"/>
          <w:lang w:val="en-US" w:eastAsia="zh-CN"/>
        </w:rPr>
        <w:t>电</w:t>
      </w:r>
      <w:r>
        <w:rPr>
          <w:rFonts w:hint="eastAsia"/>
        </w:rPr>
        <w:t>商录入页面，根据页面提示进入信息录入，带*号标题中的字段为必填项，信息填写好后，点击【提交】按钮。</w:t>
      </w:r>
      <w:r>
        <w:rPr>
          <w:rFonts w:hint="eastAsia"/>
          <w:lang w:val="en-US" w:eastAsia="zh-CN"/>
        </w:rPr>
        <w:t>如图13所示：</w:t>
      </w:r>
    </w:p>
    <w:p>
      <w:pPr>
        <w:ind w:firstLine="480"/>
      </w:pPr>
    </w:p>
    <w:p>
      <w:pPr>
        <w:ind w:firstLine="0" w:firstLineChars="0"/>
      </w:pPr>
      <w:r>
        <w:drawing>
          <wp:inline distT="0" distB="0" distL="114300" distR="114300">
            <wp:extent cx="5264150" cy="3648710"/>
            <wp:effectExtent l="0" t="0" r="889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5269865" cy="3380740"/>
            <wp:effectExtent l="0" t="0" r="3175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default" w:eastAsia="黑体"/>
          <w:lang w:val="en-US" w:eastAsia="zh-CN"/>
        </w:rPr>
      </w:pPr>
      <w:r>
        <w:rPr>
          <w:rFonts w:hint="eastAsia" w:ascii="Calibri Light" w:hAnsi="Calibri Light" w:eastAsia="黑体"/>
          <w:sz w:val="20"/>
          <w:szCs w:val="20"/>
        </w:rPr>
        <w:t>图</w:t>
      </w:r>
      <w:r>
        <w:rPr>
          <w:rFonts w:hint="eastAsia" w:ascii="Calibri Light" w:hAnsi="Calibri Light" w:eastAsia="黑体"/>
          <w:sz w:val="20"/>
          <w:szCs w:val="20"/>
          <w:lang w:val="en-US" w:eastAsia="zh-CN"/>
        </w:rPr>
        <w:t>13超市电商填写信息页面</w:t>
      </w:r>
    </w:p>
    <w:p>
      <w:pPr>
        <w:ind w:firstLine="0" w:firstLineChars="0"/>
      </w:pPr>
    </w:p>
    <w:p>
      <w:pPr>
        <w:ind w:firstLine="480"/>
        <w:jc w:val="left"/>
      </w:pPr>
    </w:p>
    <w:p>
      <w:pPr>
        <w:pStyle w:val="3"/>
      </w:pPr>
      <w:bookmarkStart w:id="16" w:name="_Toc28539"/>
      <w:r>
        <w:rPr>
          <w:rFonts w:hint="eastAsia"/>
        </w:rPr>
        <w:t>定点供应商</w:t>
      </w:r>
      <w:bookmarkEnd w:id="16"/>
    </w:p>
    <w:p>
      <w:pPr>
        <w:ind w:firstLine="480"/>
        <w:rPr>
          <w:rFonts w:hint="eastAsia"/>
        </w:rPr>
      </w:pPr>
      <w:r>
        <w:rPr>
          <w:rFonts w:hint="eastAsia"/>
        </w:rPr>
        <w:t>进入定点供应商录入页面，首先需要选择品目，第一个页面中，选择的品目必须要阅读及勾选对应入驻须知，另外需要上传入驻承诺函，信息录入完成后，点击【下一步】按钮，进入详情录入页面，</w:t>
      </w:r>
    </w:p>
    <w:p>
      <w:pPr>
        <w:ind w:firstLine="480"/>
        <w:rPr>
          <w:rFonts w:hint="default" w:eastAsia="宋体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注：请务必下载各个品目的入驻须知，上传的材料严格按照各品目入驻须知要求上传。</w:t>
      </w:r>
    </w:p>
    <w:p>
      <w:pPr>
        <w:ind w:left="720" w:leftChars="200" w:hanging="240" w:hangingChars="100"/>
        <w:jc w:val="left"/>
      </w:pPr>
      <w:r>
        <w:drawing>
          <wp:inline distT="0" distB="0" distL="114300" distR="114300">
            <wp:extent cx="5271135" cy="4793615"/>
            <wp:effectExtent l="0" t="0" r="1206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80" w:leftChars="200" w:hanging="200" w:hangingChars="100"/>
        <w:jc w:val="center"/>
        <w:rPr>
          <w:rFonts w:hint="default"/>
          <w:lang w:val="en-US"/>
        </w:rPr>
      </w:pPr>
      <w:r>
        <w:rPr>
          <w:rFonts w:hint="eastAsia" w:ascii="Calibri Light" w:hAnsi="Calibri Light" w:eastAsia="黑体"/>
          <w:sz w:val="20"/>
          <w:szCs w:val="20"/>
        </w:rPr>
        <w:t>图</w:t>
      </w:r>
      <w:r>
        <w:rPr>
          <w:rFonts w:hint="eastAsia" w:ascii="Calibri Light" w:hAnsi="Calibri Light" w:eastAsia="黑体"/>
          <w:sz w:val="20"/>
          <w:szCs w:val="20"/>
          <w:lang w:val="en-US" w:eastAsia="zh-CN"/>
        </w:rPr>
        <w:t>14下载入驻须知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jc w:val="left"/>
        <w:textAlignment w:val="auto"/>
      </w:pPr>
      <w:r>
        <w:rPr>
          <w:rFonts w:hint="eastAsia"/>
        </w:rPr>
        <w:t>进入定点录入页面，当选择多个品目时，需要点击标签，将每个标签里面的内</w:t>
      </w:r>
      <w:r>
        <w:rPr>
          <w:rFonts w:hint="eastAsia"/>
          <w:lang w:val="en-US" w:eastAsia="zh-CN"/>
        </w:rPr>
        <w:t>容</w:t>
      </w:r>
      <w:r>
        <w:rPr>
          <w:rFonts w:hint="eastAsia"/>
        </w:rPr>
        <w:t>都需要填写完整。</w:t>
      </w:r>
      <w:r>
        <w:rPr>
          <w:rFonts w:hint="eastAsia"/>
          <w:lang w:val="en-US" w:eastAsia="zh-CN"/>
        </w:rPr>
        <w:t>如图15所示：</w:t>
      </w:r>
      <w:r>
        <w:drawing>
          <wp:inline distT="0" distB="0" distL="114300" distR="114300">
            <wp:extent cx="5273675" cy="4886960"/>
            <wp:effectExtent l="0" t="0" r="9525" b="254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70500" cy="2829560"/>
            <wp:effectExtent l="0" t="0" r="0" b="254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</w:pPr>
      <w:r>
        <w:rPr>
          <w:rFonts w:hint="eastAsia" w:ascii="Calibri Light" w:hAnsi="Calibri Light" w:eastAsia="黑体"/>
          <w:sz w:val="20"/>
          <w:szCs w:val="20"/>
        </w:rPr>
        <w:t>图</w:t>
      </w:r>
      <w:r>
        <w:rPr>
          <w:rFonts w:hint="eastAsia" w:ascii="Calibri Light" w:hAnsi="Calibri Light" w:eastAsia="黑体"/>
          <w:sz w:val="20"/>
          <w:szCs w:val="20"/>
          <w:lang w:val="en-US" w:eastAsia="zh-CN"/>
        </w:rPr>
        <w:t>15定点供应商填写信息页面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28C80B"/>
    <w:multiLevelType w:val="multilevel"/>
    <w:tmpl w:val="5728C80B"/>
    <w:lvl w:ilvl="0" w:tentative="0">
      <w:start w:val="1"/>
      <w:numFmt w:val="decimal"/>
      <w:pStyle w:val="2"/>
      <w:suff w:val="nothing"/>
      <w:lvlText w:val="%1."/>
      <w:lvlJc w:val="left"/>
      <w:pPr>
        <w:ind w:left="0" w:firstLine="0"/>
      </w:pPr>
      <w:rPr>
        <w:rFonts w:hint="eastAsia" w:ascii="宋体" w:hAnsi="宋体" w:eastAsia="宋体" w:cs="宋体"/>
        <w:b/>
        <w:sz w:val="36"/>
        <w:szCs w:val="44"/>
      </w:rPr>
    </w:lvl>
    <w:lvl w:ilvl="1" w:tentative="0">
      <w:start w:val="1"/>
      <w:numFmt w:val="decimal"/>
      <w:pStyle w:val="3"/>
      <w:isLgl/>
      <w:suff w:val="nothing"/>
      <w:lvlText w:val="%1.%2."/>
      <w:lvlJc w:val="left"/>
      <w:pPr>
        <w:ind w:left="0" w:firstLine="0"/>
      </w:pPr>
      <w:rPr>
        <w:rFonts w:hint="eastAsia" w:ascii="宋体" w:hAnsi="宋体" w:eastAsia="宋体" w:cs="宋体"/>
        <w:b/>
        <w:sz w:val="32"/>
      </w:rPr>
    </w:lvl>
    <w:lvl w:ilvl="2" w:tentative="0">
      <w:start w:val="1"/>
      <w:numFmt w:val="decimal"/>
      <w:isLgl/>
      <w:suff w:val="nothing"/>
      <w:lvlText w:val="%1.%2.%3."/>
      <w:lvlJc w:val="left"/>
      <w:pPr>
        <w:ind w:left="0" w:firstLine="0"/>
      </w:pPr>
      <w:rPr>
        <w:rFonts w:hint="eastAsia" w:ascii="宋体" w:hAnsi="宋体" w:eastAsia="宋体" w:cs="宋体"/>
        <w:b/>
        <w:sz w:val="30"/>
      </w:rPr>
    </w:lvl>
    <w:lvl w:ilvl="3" w:tentative="0">
      <w:start w:val="1"/>
      <w:numFmt w:val="decimal"/>
      <w:isLgl/>
      <w:suff w:val="nothing"/>
      <w:lvlText w:val="%1.%2.%3.%4."/>
      <w:lvlJc w:val="left"/>
      <w:pPr>
        <w:ind w:left="0" w:firstLine="0"/>
      </w:pPr>
      <w:rPr>
        <w:rFonts w:hint="eastAsia" w:ascii="宋体" w:hAnsi="宋体" w:eastAsia="宋体" w:cs="宋体"/>
        <w:b/>
        <w:sz w:val="28"/>
      </w:rPr>
    </w:lvl>
    <w:lvl w:ilvl="4" w:tentative="0">
      <w:start w:val="1"/>
      <w:numFmt w:val="decimal"/>
      <w:isLgl/>
      <w:suff w:val="nothing"/>
      <w:lvlText w:val="%1.%2.%3.%4.%5."/>
      <w:lvlJc w:val="left"/>
      <w:pPr>
        <w:ind w:left="0" w:firstLine="0"/>
      </w:pPr>
      <w:rPr>
        <w:rFonts w:hint="eastAsia" w:ascii="宋体" w:hAnsi="宋体" w:eastAsia="宋体" w:cs="宋体"/>
        <w:b/>
        <w:sz w:val="24"/>
      </w:rPr>
    </w:lvl>
    <w:lvl w:ilvl="5" w:tentative="0">
      <w:start w:val="1"/>
      <w:numFmt w:val="decimal"/>
      <w:isLgl/>
      <w:suff w:val="nothing"/>
      <w:lvlText w:val="%1.%2.%3.%4.%5.%6."/>
      <w:lvlJc w:val="left"/>
      <w:pPr>
        <w:ind w:left="0" w:firstLine="0"/>
      </w:pPr>
      <w:rPr>
        <w:rFonts w:hint="eastAsia" w:ascii="宋体" w:hAnsi="宋体" w:eastAsia="宋体" w:cs="宋体"/>
      </w:rPr>
    </w:lvl>
    <w:lvl w:ilvl="6" w:tentative="0">
      <w:start w:val="1"/>
      <w:numFmt w:val="decimal"/>
      <w:isLgl/>
      <w:suff w:val="nothing"/>
      <w:lvlText w:val="%1.%2.%3.%4.%5.%6.%7."/>
      <w:lvlJc w:val="left"/>
      <w:pPr>
        <w:ind w:left="0" w:firstLine="0"/>
      </w:pPr>
      <w:rPr>
        <w:rFonts w:hint="eastAsia" w:ascii="宋体" w:hAnsi="宋体" w:eastAsia="宋体" w:cs="宋体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8"/>
        </w:tabs>
        <w:ind w:left="1558" w:hanging="1558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939"/>
    <w:rsid w:val="005C4E84"/>
    <w:rsid w:val="00CE0939"/>
    <w:rsid w:val="0D2D6AD0"/>
    <w:rsid w:val="176D4DE3"/>
    <w:rsid w:val="29D22540"/>
    <w:rsid w:val="5A6D12B5"/>
    <w:rsid w:val="719D3703"/>
    <w:rsid w:val="734C7911"/>
    <w:rsid w:val="7A692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0"/>
      </w:tabs>
      <w:spacing w:before="300" w:after="300" w:line="480" w:lineRule="auto"/>
      <w:ind w:firstLineChars="0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0"/>
      </w:tabs>
      <w:spacing w:before="260" w:after="260"/>
      <w:ind w:firstLineChars="0"/>
      <w:outlineLvl w:val="1"/>
    </w:pPr>
    <w:rPr>
      <w:rFonts w:ascii="Arial" w:hAnsi="Arial"/>
      <w:b/>
      <w:sz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0"/>
    <w:rPr>
      <w:rFonts w:ascii="Calibri Light" w:hAnsi="Calibri Light" w:eastAsia="黑体"/>
      <w:sz w:val="20"/>
      <w:szCs w:val="20"/>
    </w:rPr>
  </w:style>
  <w:style w:type="paragraph" w:styleId="5">
    <w:name w:val="Balloon Text"/>
    <w:basedOn w:val="1"/>
    <w:link w:val="13"/>
    <w:uiPriority w:val="0"/>
    <w:pPr>
      <w:spacing w:line="240" w:lineRule="auto"/>
    </w:pPr>
    <w:rPr>
      <w:sz w:val="18"/>
      <w:szCs w:val="18"/>
    </w:r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character" w:styleId="10">
    <w:name w:val="Hyperlink"/>
    <w:basedOn w:val="9"/>
    <w:uiPriority w:val="0"/>
    <w:rPr>
      <w:color w:val="0000FF"/>
      <w:u w:val="single"/>
    </w:rPr>
  </w:style>
  <w:style w:type="paragraph" w:customStyle="1" w:styleId="11">
    <w:name w:val="WPSOffice手动目录 1"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2">
    <w:name w:val="WPSOffice手动目录 2"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3">
    <w:name w:val="批注框文本 Char"/>
    <w:basedOn w:val="9"/>
    <w:link w:val="5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14</Pages>
  <Words>1289</Words>
  <Characters>992</Characters>
  <Lines>8</Lines>
  <Paragraphs>4</Paragraphs>
  <TotalTime>1</TotalTime>
  <ScaleCrop>false</ScaleCrop>
  <LinksUpToDate>false</LinksUpToDate>
  <CharactersWithSpaces>2277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2020-02-27T07:54:00Z</dcterms:created>
  <dc:creator>取舍</dc:creator>
  <cp:lastModifiedBy>monsoon</cp:lastModifiedBy>
  <dcterms:modified xsi:type="dcterms:W3CDTF">2020-10-09T11:49:00Z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