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宋体" w:hAnsi="宋体"/>
          <w:b/>
          <w:sz w:val="48"/>
          <w:szCs w:val="48"/>
        </w:rPr>
      </w:pPr>
      <w:bookmarkStart w:id="10" w:name="_GoBack"/>
      <w:bookmarkEnd w:id="10"/>
    </w:p>
    <w:p>
      <w:pPr>
        <w:ind w:firstLine="0" w:firstLineChars="0"/>
        <w:jc w:val="center"/>
        <w:rPr>
          <w:rFonts w:ascii="宋体" w:hAnsi="宋体" w:cs="宋体"/>
          <w:sz w:val="32"/>
          <w:szCs w:val="32"/>
        </w:rPr>
      </w:pPr>
      <w:r>
        <w:rPr>
          <w:rFonts w:hint="eastAsia" w:ascii="宋体" w:hAnsi="宋体"/>
          <w:b/>
          <w:sz w:val="56"/>
          <w:szCs w:val="72"/>
        </w:rPr>
        <w:t>山东省省</w:t>
      </w:r>
      <w:r>
        <w:rPr>
          <w:rFonts w:ascii="宋体" w:hAnsi="宋体"/>
          <w:b/>
          <w:sz w:val="56"/>
          <w:szCs w:val="72"/>
        </w:rPr>
        <w:t>级</w:t>
      </w:r>
      <w:r>
        <w:rPr>
          <w:rFonts w:hint="eastAsia" w:ascii="宋体" w:hAnsi="宋体"/>
          <w:b/>
          <w:sz w:val="56"/>
          <w:szCs w:val="72"/>
        </w:rPr>
        <w:t>政府</w:t>
      </w:r>
      <w:r>
        <w:rPr>
          <w:rFonts w:ascii="宋体" w:hAnsi="宋体"/>
          <w:b/>
          <w:sz w:val="56"/>
          <w:szCs w:val="72"/>
        </w:rPr>
        <w:t>采购网上</w:t>
      </w:r>
      <w:r>
        <w:rPr>
          <w:rFonts w:hint="eastAsia" w:ascii="宋体" w:hAnsi="宋体"/>
          <w:b/>
          <w:sz w:val="56"/>
          <w:szCs w:val="72"/>
        </w:rPr>
        <w:t>商城</w:t>
      </w:r>
    </w:p>
    <w:p>
      <w:pPr>
        <w:ind w:firstLine="0" w:firstLineChars="0"/>
        <w:jc w:val="center"/>
        <w:rPr>
          <w:rFonts w:ascii="宋体" w:hAnsi="宋体" w:cs="宋体"/>
          <w:sz w:val="32"/>
          <w:szCs w:val="32"/>
        </w:rPr>
      </w:pPr>
    </w:p>
    <w:p>
      <w:pPr>
        <w:ind w:firstLine="0" w:firstLineChars="0"/>
        <w:jc w:val="center"/>
        <w:rPr>
          <w:rFonts w:ascii="宋体" w:hAnsi="宋体"/>
          <w:b/>
          <w:sz w:val="52"/>
          <w:szCs w:val="52"/>
        </w:rPr>
      </w:pPr>
      <w:r>
        <w:rPr>
          <w:rFonts w:hint="eastAsia" w:ascii="宋体" w:hAnsi="宋体"/>
          <w:b/>
          <w:sz w:val="52"/>
          <w:szCs w:val="52"/>
        </w:rPr>
        <w:t>疫情防控专区供应商操作手册</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jc w:val="center"/>
        <w:rPr>
          <w:sz w:val="32"/>
          <w:szCs w:val="32"/>
        </w:rPr>
      </w:pPr>
    </w:p>
    <w:p>
      <w:pPr>
        <w:ind w:firstLine="0" w:firstLineChars="0"/>
        <w:jc w:val="center"/>
        <w:rPr>
          <w:rFonts w:ascii="宋体" w:hAnsi="宋体" w:cs="宋体"/>
          <w:sz w:val="32"/>
          <w:szCs w:val="32"/>
        </w:rPr>
      </w:pPr>
      <w:r>
        <w:rPr>
          <w:rFonts w:hint="eastAsia" w:ascii="宋体" w:hAnsi="宋体" w:cs="宋体"/>
          <w:sz w:val="32"/>
          <w:szCs w:val="32"/>
        </w:rPr>
        <w:t>2020年2月</w:t>
      </w:r>
    </w:p>
    <w:p>
      <w:pPr>
        <w:ind w:firstLine="0" w:firstLineChars="0"/>
        <w:jc w:val="center"/>
        <w:rPr>
          <w:rFonts w:cs="宋体"/>
          <w:b/>
          <w:sz w:val="30"/>
          <w:szCs w:val="30"/>
          <w:lang w:bidi="ar"/>
        </w:rPr>
      </w:pPr>
    </w:p>
    <w:p>
      <w:pPr>
        <w:ind w:firstLine="0" w:firstLineChars="0"/>
        <w:jc w:val="center"/>
        <w:rPr>
          <w:rFonts w:cs="宋体"/>
          <w:b/>
          <w:sz w:val="30"/>
          <w:szCs w:val="30"/>
          <w:lang w:bidi="ar"/>
        </w:rPr>
      </w:pPr>
    </w:p>
    <w:p>
      <w:pPr>
        <w:ind w:firstLine="0" w:firstLineChars="0"/>
        <w:jc w:val="center"/>
        <w:rPr>
          <w:rFonts w:cs="宋体"/>
          <w:b/>
          <w:sz w:val="30"/>
          <w:szCs w:val="30"/>
          <w:lang w:bidi="ar"/>
        </w:rPr>
      </w:pPr>
    </w:p>
    <w:p>
      <w:pPr>
        <w:ind w:firstLine="480"/>
      </w:pPr>
    </w:p>
    <w:p>
      <w:pPr>
        <w:ind w:firstLine="480"/>
      </w:pPr>
    </w:p>
    <w:p>
      <w:pPr>
        <w:ind w:firstLine="480"/>
      </w:pPr>
    </w:p>
    <w:p>
      <w:pPr>
        <w:ind w:firstLine="0" w:firstLineChars="0"/>
        <w:rPr>
          <w:rFonts w:hint="eastAsia"/>
        </w:rPr>
      </w:pPr>
    </w:p>
    <w:p>
      <w:pPr>
        <w:ind w:firstLine="480"/>
        <w:rPr>
          <w:rFonts w:hint="eastAsia"/>
        </w:rPr>
      </w:pPr>
      <w:r>
        <w:rPr>
          <w:rFonts w:hint="eastAsia"/>
        </w:rPr>
        <w:t>在网上商城开设疫情防控专区是根据财政部《关于疫情防控期间开展政府采购活动有关事项的通知》（财办库【2020】29号）有关要求，为满足各部门单位采购防控物资需要，进一步加强货源组织工作，专门开辟的疫情防控物资采购信息发布渠道，主要用于集中发布疫情防控采购需求信息和供应信息，促进采购人和供应商供需对接，解决供需双方信息不对称导致的寻源难、供货难问题。专区为采购人和供应商提供自助信息发布功能，可按照系统内置信息发布模板，快速生成格式统一、内容完善的信息公告。需要注意的是这是个信息发布查询专区，不能线上交易。供需双方通过这个专区可以获取有效资源信息，直接线下定向联系采购，减少采购中间环节。根据《山东省财政厅关于开启疫情防控应急救援设备和物资采购绿色通道的通知》（鲁财采〔2020〕2号）有关要求，疫情防控物资采购无需执行政府采购程序，各单位自行组织采购。</w:t>
      </w:r>
    </w:p>
    <w:p>
      <w:pPr>
        <w:ind w:firstLine="480"/>
      </w:pPr>
      <w:r>
        <w:rPr>
          <w:rFonts w:hint="eastAsia"/>
        </w:rPr>
        <w:t>疫情防控物资直接关系人民群众的生命安全，供应商应当确保信息发布的准确性、真实性，更要保障疫情防控物资的质量，要依法合规经营、公平诚信交易，特别是部分疫情防控物资属于医疗器械范围，生产企业和销售企业应当具备国家相关生产经营销售许可证或履行备案、注册手续，严禁无资质资格企业生产销售。疫情防控物资销售价格要合理，不得借机哄抬价格，囤积居奇，扰乱市场秩序。</w:t>
      </w:r>
    </w:p>
    <w:p>
      <w:pPr>
        <w:pStyle w:val="2"/>
      </w:pPr>
      <w:bookmarkStart w:id="0" w:name="_Toc2373"/>
      <w:bookmarkStart w:id="1" w:name="_Toc24176"/>
      <w:r>
        <w:rPr>
          <w:rFonts w:hint="eastAsia"/>
        </w:rPr>
        <w:t>用户</w:t>
      </w:r>
      <w:r>
        <w:t>登录</w:t>
      </w:r>
      <w:bookmarkEnd w:id="0"/>
      <w:bookmarkEnd w:id="1"/>
    </w:p>
    <w:p>
      <w:pPr>
        <w:pStyle w:val="3"/>
      </w:pPr>
      <w:bookmarkStart w:id="2" w:name="_Toc5988"/>
      <w:bookmarkStart w:id="3" w:name="_Toc20227"/>
      <w:r>
        <w:rPr>
          <w:rFonts w:hint="eastAsia"/>
        </w:rPr>
        <w:t>进入网站</w:t>
      </w:r>
      <w:bookmarkEnd w:id="2"/>
      <w:bookmarkEnd w:id="3"/>
    </w:p>
    <w:p>
      <w:pPr>
        <w:ind w:firstLine="480"/>
      </w:pPr>
      <w:r>
        <w:rPr>
          <w:rFonts w:hint="eastAsia"/>
        </w:rPr>
        <w:t>输入网址</w:t>
      </w:r>
      <w:r>
        <w:fldChar w:fldCharType="begin"/>
      </w:r>
      <w:r>
        <w:instrText xml:space="preserve"> HYPERLINK "http://ggzyjyzx.shandong.gov.cn/wssc/" </w:instrText>
      </w:r>
      <w:r>
        <w:fldChar w:fldCharType="separate"/>
      </w:r>
      <w:r>
        <w:rPr>
          <w:rStyle w:val="10"/>
          <w:rFonts w:ascii="宋体" w:hAnsi="宋体" w:cs="宋体"/>
        </w:rPr>
        <w:t>http://ggzyjyzx.shandong.gov.cn/wssc/</w:t>
      </w:r>
      <w:r>
        <w:rPr>
          <w:rStyle w:val="10"/>
          <w:rFonts w:ascii="宋体" w:hAnsi="宋体" w:cs="宋体"/>
        </w:rPr>
        <w:fldChar w:fldCharType="end"/>
      </w:r>
      <w:r>
        <w:rPr>
          <w:rFonts w:hint="eastAsia"/>
        </w:rPr>
        <w:t>进入山东政府采购网或www.sdzfcg.gov.cn进入山东政府集中采购网，点击【省级政府采购网上商城】，进入商城首页；或直接输入http://portal.sdzfcg.gov.cn进入商城。</w:t>
      </w:r>
    </w:p>
    <w:p>
      <w:pPr>
        <w:ind w:firstLine="480"/>
      </w:pPr>
      <w:r>
        <w:rPr>
          <w:rFonts w:hint="eastAsia"/>
        </w:rPr>
        <w:t>注意：供应商账号需要山东政府集中采购网注册，网上商城账号密码与山东省政府采购信息公开平台的账号密码一致，如需修改账号密码，或忘记密码找回，请到山东省政府采购信息公开平台系统中操作，网上商城不提供账号密码修改或找回的功能。</w:t>
      </w:r>
    </w:p>
    <w:p>
      <w:pPr>
        <w:ind w:firstLine="0" w:firstLineChars="0"/>
      </w:pPr>
      <w:r>
        <w:drawing>
          <wp:inline distT="0" distB="0" distL="114300" distR="114300">
            <wp:extent cx="5269230" cy="37306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3730625"/>
                    </a:xfrm>
                    <a:prstGeom prst="rect">
                      <a:avLst/>
                    </a:prstGeom>
                    <a:noFill/>
                    <a:ln>
                      <a:noFill/>
                    </a:ln>
                  </pic:spPr>
                </pic:pic>
              </a:graphicData>
            </a:graphic>
          </wp:inline>
        </w:drawing>
      </w:r>
    </w:p>
    <w:p>
      <w:pPr>
        <w:pStyle w:val="4"/>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t xml:space="preserve"> </w:t>
      </w:r>
      <w:r>
        <w:rPr>
          <w:rFonts w:hint="eastAsia"/>
        </w:rPr>
        <w:t>网上</w:t>
      </w:r>
      <w:r>
        <w:t>商城入口</w:t>
      </w:r>
    </w:p>
    <w:p>
      <w:pPr>
        <w:ind w:firstLine="480"/>
      </w:pPr>
    </w:p>
    <w:p>
      <w:pPr>
        <w:ind w:firstLine="480"/>
      </w:pPr>
    </w:p>
    <w:p>
      <w:pPr>
        <w:ind w:firstLine="480"/>
      </w:pPr>
    </w:p>
    <w:p>
      <w:pPr>
        <w:pStyle w:val="3"/>
      </w:pPr>
      <w:bookmarkStart w:id="4" w:name="_Toc599"/>
      <w:bookmarkStart w:id="5" w:name="_Toc20926"/>
      <w:r>
        <w:rPr>
          <w:rFonts w:hint="eastAsia"/>
        </w:rPr>
        <w:t>商城</w:t>
      </w:r>
      <w:r>
        <w:t>登录</w:t>
      </w:r>
      <w:bookmarkEnd w:id="4"/>
      <w:bookmarkEnd w:id="5"/>
    </w:p>
    <w:p>
      <w:pPr>
        <w:ind w:firstLine="480"/>
      </w:pPr>
      <w:r>
        <w:rPr>
          <w:rFonts w:hint="eastAsia"/>
        </w:rPr>
        <w:t>进入</w:t>
      </w:r>
      <w:r>
        <w:t>商城后，</w:t>
      </w:r>
      <w:r>
        <w:rPr>
          <w:rFonts w:hint="eastAsia"/>
        </w:rPr>
        <w:t>选择【供应商</w:t>
      </w:r>
      <w:r>
        <w:t>登录</w:t>
      </w:r>
      <w:r>
        <w:rPr>
          <w:rFonts w:hint="eastAsia"/>
        </w:rPr>
        <w:t>】，</w:t>
      </w:r>
      <w:r>
        <w:t>点击之后出现</w:t>
      </w:r>
      <w:r>
        <w:rPr>
          <w:rFonts w:hint="eastAsia"/>
        </w:rPr>
        <w:t xml:space="preserve">登录界面； </w:t>
      </w:r>
    </w:p>
    <w:p>
      <w:pPr>
        <w:ind w:firstLine="0" w:firstLineChars="0"/>
      </w:pPr>
      <w:r>
        <w:drawing>
          <wp:inline distT="0" distB="0" distL="114300" distR="114300">
            <wp:extent cx="5278120" cy="256857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8120" cy="2568575"/>
                    </a:xfrm>
                    <a:prstGeom prst="rect">
                      <a:avLst/>
                    </a:prstGeom>
                    <a:noFill/>
                    <a:ln>
                      <a:noFill/>
                    </a:ln>
                  </pic:spPr>
                </pic:pic>
              </a:graphicData>
            </a:graphic>
          </wp:inline>
        </w:drawing>
      </w:r>
    </w:p>
    <w:p>
      <w:pPr>
        <w:pStyle w:val="4"/>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t xml:space="preserve"> </w:t>
      </w:r>
      <w:r>
        <w:rPr>
          <w:rFonts w:hint="eastAsia"/>
        </w:rPr>
        <w:t>选择</w:t>
      </w:r>
      <w:r>
        <w:t>角色登录</w:t>
      </w:r>
    </w:p>
    <w:p>
      <w:pPr>
        <w:ind w:firstLine="480"/>
      </w:pPr>
      <w:r>
        <w:t>输入账号</w:t>
      </w:r>
      <w:r>
        <w:rPr>
          <w:rFonts w:hint="eastAsia"/>
        </w:rPr>
        <w:t>密码</w:t>
      </w:r>
      <w:r>
        <w:t>即可进入网上商城</w:t>
      </w:r>
      <w:r>
        <w:rPr>
          <w:rFonts w:hint="eastAsia"/>
        </w:rPr>
        <w:t>。</w:t>
      </w:r>
    </w:p>
    <w:p>
      <w:pPr>
        <w:ind w:firstLine="0" w:firstLineChars="0"/>
      </w:pPr>
      <w:r>
        <w:drawing>
          <wp:inline distT="0" distB="0" distL="114300" distR="114300">
            <wp:extent cx="5272405" cy="2567940"/>
            <wp:effectExtent l="0" t="0" r="63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2567940"/>
                    </a:xfrm>
                    <a:prstGeom prst="rect">
                      <a:avLst/>
                    </a:prstGeom>
                    <a:noFill/>
                    <a:ln>
                      <a:noFill/>
                    </a:ln>
                  </pic:spPr>
                </pic:pic>
              </a:graphicData>
            </a:graphic>
          </wp:inline>
        </w:drawing>
      </w:r>
    </w:p>
    <w:p>
      <w:pPr>
        <w:pStyle w:val="4"/>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t xml:space="preserve"> </w:t>
      </w:r>
      <w:r>
        <w:rPr>
          <w:rFonts w:hint="eastAsia"/>
        </w:rPr>
        <w:t>登录</w:t>
      </w:r>
      <w:r>
        <w:t>界面</w:t>
      </w:r>
    </w:p>
    <w:p>
      <w:pPr>
        <w:ind w:firstLine="480"/>
      </w:pPr>
    </w:p>
    <w:p>
      <w:pPr>
        <w:ind w:firstLine="480"/>
      </w:pPr>
    </w:p>
    <w:p>
      <w:pPr>
        <w:ind w:firstLine="480"/>
      </w:pPr>
    </w:p>
    <w:p>
      <w:pPr>
        <w:ind w:firstLine="480"/>
      </w:pPr>
    </w:p>
    <w:p>
      <w:pPr>
        <w:pStyle w:val="3"/>
      </w:pPr>
      <w:bookmarkStart w:id="6" w:name="_Toc16802"/>
      <w:bookmarkStart w:id="7" w:name="_Toc6468"/>
      <w:r>
        <w:rPr>
          <w:rFonts w:hint="eastAsia"/>
        </w:rPr>
        <w:t>退出</w:t>
      </w:r>
      <w:r>
        <w:t>商城</w:t>
      </w:r>
      <w:bookmarkEnd w:id="6"/>
      <w:bookmarkEnd w:id="7"/>
    </w:p>
    <w:p>
      <w:pPr>
        <w:ind w:firstLine="480"/>
      </w:pPr>
      <w:r>
        <w:rPr>
          <w:rFonts w:hint="eastAsia"/>
        </w:rPr>
        <w:t>供应商</w:t>
      </w:r>
      <w:r>
        <w:t>在登录状态下，</w:t>
      </w:r>
      <w:r>
        <w:rPr>
          <w:rFonts w:hint="eastAsia"/>
        </w:rPr>
        <w:t>点击</w:t>
      </w:r>
      <w:r>
        <w:t>【</w:t>
      </w:r>
      <w:r>
        <w:rPr>
          <w:rFonts w:hint="eastAsia"/>
        </w:rPr>
        <w:t>退出</w:t>
      </w:r>
      <w:r>
        <w:t>登录】</w:t>
      </w:r>
      <w:r>
        <w:rPr>
          <w:rFonts w:hint="eastAsia"/>
        </w:rPr>
        <w:t>即可</w:t>
      </w:r>
      <w:r>
        <w:t>退出商城。</w:t>
      </w:r>
    </w:p>
    <w:p>
      <w:pPr>
        <w:ind w:firstLine="0" w:firstLineChars="0"/>
        <w:jc w:val="center"/>
      </w:pPr>
      <w:r>
        <w:drawing>
          <wp:inline distT="0" distB="0" distL="114300" distR="114300">
            <wp:extent cx="5269230" cy="2765425"/>
            <wp:effectExtent l="0" t="0" r="381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2765425"/>
                    </a:xfrm>
                    <a:prstGeom prst="rect">
                      <a:avLst/>
                    </a:prstGeom>
                    <a:noFill/>
                    <a:ln>
                      <a:noFill/>
                    </a:ln>
                  </pic:spPr>
                </pic:pic>
              </a:graphicData>
            </a:graphic>
          </wp:inline>
        </w:drawing>
      </w:r>
    </w:p>
    <w:p>
      <w:pPr>
        <w:ind w:firstLine="0" w:firstLineChars="0"/>
        <w:jc w:val="center"/>
        <w:rPr>
          <w:rFonts w:cs="宋体"/>
          <w:b/>
          <w:sz w:val="30"/>
          <w:szCs w:val="30"/>
          <w:lang w:bidi="ar"/>
        </w:rPr>
      </w:pPr>
      <w:r>
        <w:rPr>
          <w:rFonts w:hint="eastAsia" w:ascii="Calibri Light" w:hAnsi="Calibri Light" w:eastAsia="黑体"/>
          <w:sz w:val="20"/>
          <w:szCs w:val="20"/>
        </w:rPr>
        <w:t>图4退出页面</w:t>
      </w:r>
    </w:p>
    <w:p>
      <w:pPr>
        <w:pStyle w:val="2"/>
      </w:pPr>
      <w:bookmarkStart w:id="8" w:name="_Toc791"/>
      <w:bookmarkStart w:id="9" w:name="_Toc11363"/>
      <w:r>
        <w:rPr>
          <w:rFonts w:hint="eastAsia"/>
        </w:rPr>
        <w:t>疫情专区</w:t>
      </w:r>
      <w:r>
        <w:t>管理</w:t>
      </w:r>
      <w:bookmarkEnd w:id="8"/>
      <w:bookmarkEnd w:id="9"/>
    </w:p>
    <w:p>
      <w:pPr>
        <w:ind w:firstLine="480"/>
        <w:jc w:val="left"/>
      </w:pPr>
      <w:r>
        <w:rPr>
          <w:rFonts w:hint="eastAsia"/>
        </w:rPr>
        <w:t>登录系统后，点击品目中的【超市】标题，进入网上超市页面，点击疫情专区页面。</w:t>
      </w:r>
      <w:r>
        <w:drawing>
          <wp:inline distT="0" distB="0" distL="114300" distR="114300">
            <wp:extent cx="5266690" cy="2216785"/>
            <wp:effectExtent l="0" t="0" r="635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6690" cy="2216785"/>
                    </a:xfrm>
                    <a:prstGeom prst="rect">
                      <a:avLst/>
                    </a:prstGeom>
                    <a:noFill/>
                    <a:ln>
                      <a:noFill/>
                    </a:ln>
                  </pic:spPr>
                </pic:pic>
              </a:graphicData>
            </a:graphic>
          </wp:inline>
        </w:drawing>
      </w:r>
    </w:p>
    <w:p>
      <w:pPr>
        <w:ind w:firstLine="480"/>
      </w:pPr>
    </w:p>
    <w:p>
      <w:pPr>
        <w:pStyle w:val="3"/>
      </w:pPr>
      <w:r>
        <w:rPr>
          <w:rFonts w:hint="eastAsia"/>
        </w:rPr>
        <w:t>供应商登记</w:t>
      </w:r>
    </w:p>
    <w:p>
      <w:pPr>
        <w:ind w:firstLine="480"/>
        <w:jc w:val="left"/>
      </w:pPr>
      <w:r>
        <w:rPr>
          <w:rFonts w:hint="eastAsia"/>
        </w:rPr>
        <w:t>进入疫情专区页面，点击【发布供应商信息】按钮进入供应商录入页面，。</w:t>
      </w:r>
      <w:r>
        <w:drawing>
          <wp:inline distT="0" distB="0" distL="114300" distR="114300">
            <wp:extent cx="5270500" cy="2420620"/>
            <wp:effectExtent l="0" t="0" r="254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70500" cy="2420620"/>
                    </a:xfrm>
                    <a:prstGeom prst="rect">
                      <a:avLst/>
                    </a:prstGeom>
                    <a:noFill/>
                    <a:ln>
                      <a:noFill/>
                    </a:ln>
                  </pic:spPr>
                </pic:pic>
              </a:graphicData>
            </a:graphic>
          </wp:inline>
        </w:drawing>
      </w:r>
    </w:p>
    <w:p>
      <w:pPr>
        <w:ind w:firstLine="480"/>
        <w:jc w:val="left"/>
      </w:pPr>
      <w:r>
        <w:rPr>
          <w:rFonts w:hint="eastAsia"/>
        </w:rPr>
        <w:t>供应商进入信息登录页面，按照页面提示，录入信息有：联系人、联系方式、选择供应商类型、数据产品技术规格说明、供货范围，录入完成后点击【登记】按钮数据将提交管理员审核，管理员审核通过后可直接在前台展示。</w:t>
      </w:r>
    </w:p>
    <w:p>
      <w:pPr>
        <w:ind w:firstLine="0" w:firstLineChars="0"/>
        <w:jc w:val="left"/>
      </w:pPr>
      <w:r>
        <w:drawing>
          <wp:inline distT="0" distB="0" distL="114300" distR="114300">
            <wp:extent cx="5265420" cy="3674745"/>
            <wp:effectExtent l="0" t="0" r="762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5420" cy="3674745"/>
                    </a:xfrm>
                    <a:prstGeom prst="rect">
                      <a:avLst/>
                    </a:prstGeom>
                    <a:noFill/>
                    <a:ln>
                      <a:noFill/>
                    </a:ln>
                  </pic:spPr>
                </pic:pic>
              </a:graphicData>
            </a:graphic>
          </wp:inline>
        </w:drawing>
      </w:r>
    </w:p>
    <w:p>
      <w:pPr>
        <w:ind w:firstLine="0" w:firstLineChars="0"/>
        <w:jc w:val="left"/>
      </w:pPr>
    </w:p>
    <w:p>
      <w:pPr>
        <w:pStyle w:val="3"/>
      </w:pPr>
      <w:r>
        <w:rPr>
          <w:rFonts w:hint="eastAsia"/>
        </w:rPr>
        <w:t>查看采购人求购需求</w:t>
      </w:r>
    </w:p>
    <w:p>
      <w:pPr>
        <w:ind w:firstLine="0" w:firstLineChars="0"/>
        <w:jc w:val="left"/>
      </w:pPr>
      <w:r>
        <w:rPr>
          <w:rFonts w:hint="eastAsia"/>
        </w:rPr>
        <w:t>供应商进入疫情专区页面，页面下方会展示采购单位所发布的求购需求，供应商点击【查看】按钮进入详情页面，当供应商满足采购人需求时，可根据线下联系采购人直接供货。</w:t>
      </w:r>
      <w:r>
        <w:drawing>
          <wp:inline distT="0" distB="0" distL="114300" distR="114300">
            <wp:extent cx="5264150" cy="3668395"/>
            <wp:effectExtent l="0" t="0" r="889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64150" cy="3668395"/>
                    </a:xfrm>
                    <a:prstGeom prst="rect">
                      <a:avLst/>
                    </a:prstGeom>
                    <a:noFill/>
                    <a:ln>
                      <a:noFill/>
                    </a:ln>
                  </pic:spPr>
                </pic:pic>
              </a:graphicData>
            </a:graphic>
          </wp:inline>
        </w:drawing>
      </w:r>
    </w:p>
    <w:p>
      <w:pPr>
        <w:ind w:firstLine="480"/>
      </w:pPr>
    </w:p>
    <w:p>
      <w:pPr>
        <w:ind w:firstLine="48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8C80B"/>
    <w:multiLevelType w:val="multilevel"/>
    <w:tmpl w:val="5728C80B"/>
    <w:lvl w:ilvl="0" w:tentative="0">
      <w:start w:val="1"/>
      <w:numFmt w:val="decimal"/>
      <w:pStyle w:val="2"/>
      <w:suff w:val="nothing"/>
      <w:lvlText w:val="%1."/>
      <w:lvlJc w:val="left"/>
      <w:pPr>
        <w:ind w:left="0" w:firstLine="0"/>
      </w:pPr>
      <w:rPr>
        <w:rFonts w:hint="eastAsia" w:ascii="宋体" w:hAnsi="宋体" w:eastAsia="宋体" w:cs="宋体"/>
        <w:b/>
        <w:sz w:val="36"/>
        <w:szCs w:val="44"/>
      </w:rPr>
    </w:lvl>
    <w:lvl w:ilvl="1" w:tentative="0">
      <w:start w:val="1"/>
      <w:numFmt w:val="decimal"/>
      <w:pStyle w:val="3"/>
      <w:isLgl/>
      <w:suff w:val="nothing"/>
      <w:lvlText w:val="%1.%2."/>
      <w:lvlJc w:val="left"/>
      <w:pPr>
        <w:ind w:left="0" w:firstLine="0"/>
      </w:pPr>
      <w:rPr>
        <w:rFonts w:hint="eastAsia" w:ascii="宋体" w:hAnsi="宋体" w:eastAsia="宋体" w:cs="宋体"/>
        <w:b/>
        <w:sz w:val="32"/>
      </w:rPr>
    </w:lvl>
    <w:lvl w:ilvl="2" w:tentative="0">
      <w:start w:val="1"/>
      <w:numFmt w:val="decimal"/>
      <w:isLgl/>
      <w:suff w:val="nothing"/>
      <w:lvlText w:val="%1.%2.%3."/>
      <w:lvlJc w:val="left"/>
      <w:pPr>
        <w:ind w:left="0" w:firstLine="0"/>
      </w:pPr>
      <w:rPr>
        <w:rFonts w:hint="eastAsia" w:ascii="宋体" w:hAnsi="宋体" w:eastAsia="宋体" w:cs="宋体"/>
        <w:b/>
        <w:sz w:val="30"/>
      </w:rPr>
    </w:lvl>
    <w:lvl w:ilvl="3" w:tentative="0">
      <w:start w:val="1"/>
      <w:numFmt w:val="decimal"/>
      <w:isLgl/>
      <w:suff w:val="nothing"/>
      <w:lvlText w:val="%1.%2.%3.%4."/>
      <w:lvlJc w:val="left"/>
      <w:pPr>
        <w:ind w:left="0" w:firstLine="0"/>
      </w:pPr>
      <w:rPr>
        <w:rFonts w:hint="eastAsia" w:ascii="宋体" w:hAnsi="宋体" w:eastAsia="宋体" w:cs="宋体"/>
        <w:b/>
        <w:sz w:val="28"/>
      </w:rPr>
    </w:lvl>
    <w:lvl w:ilvl="4" w:tentative="0">
      <w:start w:val="1"/>
      <w:numFmt w:val="decimal"/>
      <w:isLgl/>
      <w:suff w:val="nothing"/>
      <w:lvlText w:val="%1.%2.%3.%4.%5."/>
      <w:lvlJc w:val="left"/>
      <w:pPr>
        <w:ind w:left="0" w:firstLine="0"/>
      </w:pPr>
      <w:rPr>
        <w:rFonts w:hint="eastAsia" w:ascii="宋体" w:hAnsi="宋体" w:eastAsia="宋体" w:cs="宋体"/>
        <w:b/>
        <w:sz w:val="24"/>
      </w:rPr>
    </w:lvl>
    <w:lvl w:ilvl="5" w:tentative="0">
      <w:start w:val="1"/>
      <w:numFmt w:val="decimal"/>
      <w:isLgl/>
      <w:suff w:val="nothing"/>
      <w:lvlText w:val="%1.%2.%3.%4.%5.%6."/>
      <w:lvlJc w:val="left"/>
      <w:pPr>
        <w:ind w:left="0" w:firstLine="0"/>
      </w:pPr>
      <w:rPr>
        <w:rFonts w:hint="eastAsia" w:ascii="宋体" w:hAnsi="宋体" w:eastAsia="宋体" w:cs="宋体"/>
      </w:rPr>
    </w:lvl>
    <w:lvl w:ilvl="6" w:tentative="0">
      <w:start w:val="1"/>
      <w:numFmt w:val="decimal"/>
      <w:isLgl/>
      <w:suff w:val="nothing"/>
      <w:lvlText w:val="%1.%2.%3.%4.%5.%6.%7."/>
      <w:lvlJc w:val="left"/>
      <w:pPr>
        <w:ind w:left="0" w:firstLine="0"/>
      </w:pPr>
      <w:rPr>
        <w:rFonts w:hint="eastAsia" w:ascii="宋体" w:hAnsi="宋体" w:eastAsia="宋体" w:cs="宋体"/>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8"/>
        </w:tabs>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FB75DB"/>
    <w:rsid w:val="0088465A"/>
    <w:rsid w:val="00B34C0A"/>
    <w:rsid w:val="22792D42"/>
    <w:rsid w:val="70FB7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300" w:after="300" w:line="480" w:lineRule="auto"/>
      <w:ind w:firstLineChars="0"/>
      <w:outlineLvl w:val="0"/>
    </w:pPr>
    <w:rPr>
      <w:b/>
      <w:kern w:val="44"/>
      <w:sz w:val="36"/>
    </w:rPr>
  </w:style>
  <w:style w:type="paragraph" w:styleId="3">
    <w:name w:val="heading 2"/>
    <w:basedOn w:val="1"/>
    <w:next w:val="1"/>
    <w:qFormat/>
    <w:uiPriority w:val="0"/>
    <w:pPr>
      <w:keepNext/>
      <w:keepLines/>
      <w:numPr>
        <w:ilvl w:val="1"/>
        <w:numId w:val="1"/>
      </w:numPr>
      <w:tabs>
        <w:tab w:val="left" w:pos="0"/>
      </w:tabs>
      <w:spacing w:before="260" w:after="260"/>
      <w:ind w:firstLineChars="0"/>
      <w:outlineLvl w:val="1"/>
    </w:pPr>
    <w:rPr>
      <w:rFonts w:ascii="Arial" w:hAnsi="Arial"/>
      <w:b/>
      <w:sz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ascii="Calibri Light" w:hAnsi="Calibri Light" w:eastAsia="黑体"/>
      <w:sz w:val="20"/>
      <w:szCs w:val="20"/>
    </w:rPr>
  </w:style>
  <w:style w:type="paragraph" w:styleId="5">
    <w:name w:val="Balloon Text"/>
    <w:basedOn w:val="1"/>
    <w:link w:val="11"/>
    <w:uiPriority w:val="0"/>
    <w:pPr>
      <w:spacing w:line="240" w:lineRule="auto"/>
    </w:pPr>
    <w:rPr>
      <w:sz w:val="18"/>
      <w:szCs w:val="18"/>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10">
    <w:name w:val="Hyperlink"/>
    <w:basedOn w:val="9"/>
    <w:qFormat/>
    <w:uiPriority w:val="0"/>
    <w:rPr>
      <w:color w:val="0000FF"/>
      <w:u w:val="single"/>
    </w:rPr>
  </w:style>
  <w:style w:type="character" w:customStyle="1" w:styleId="11">
    <w:name w:val="批注框文本 Char"/>
    <w:basedOn w:val="9"/>
    <w:link w:val="5"/>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1131</Words>
  <Characters>273</Characters>
  <Lines>2</Lines>
  <Paragraphs>2</Paragraphs>
  <TotalTime>58</TotalTime>
  <ScaleCrop>false</ScaleCrop>
  <LinksUpToDate>false</LinksUpToDate>
  <CharactersWithSpaces>1402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2020-02-27T11:35:00Z</dcterms:created>
  <dc:creator>取舍1386338481</dc:creator>
  <cp:lastModifiedBy>monsoon</cp:lastModifiedBy>
  <dcterms:modified xsi:type="dcterms:W3CDTF">2020-07-31T03:50:00Z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